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4DA8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14:paraId="7CCB2BBA">
      <w:pPr>
        <w:spacing w:line="540" w:lineRule="exact"/>
        <w:jc w:val="center"/>
        <w:rPr>
          <w:rFonts w:ascii="华文中宋" w:hAnsi="华文中宋" w:eastAsia="华文中宋" w:cs="宋体"/>
          <w:b/>
          <w:kern w:val="0"/>
          <w:sz w:val="52"/>
          <w:szCs w:val="52"/>
        </w:rPr>
      </w:pPr>
    </w:p>
    <w:p w14:paraId="57DC610F">
      <w:pPr>
        <w:spacing w:line="540" w:lineRule="exact"/>
        <w:jc w:val="center"/>
        <w:rPr>
          <w:rFonts w:ascii="华文中宋" w:hAnsi="华文中宋" w:eastAsia="华文中宋" w:cs="宋体"/>
          <w:b/>
          <w:kern w:val="0"/>
          <w:sz w:val="52"/>
          <w:szCs w:val="52"/>
        </w:rPr>
      </w:pPr>
    </w:p>
    <w:p w14:paraId="27B5855C">
      <w:pPr>
        <w:spacing w:line="540" w:lineRule="exact"/>
        <w:jc w:val="center"/>
        <w:rPr>
          <w:rFonts w:ascii="华文中宋" w:hAnsi="华文中宋" w:eastAsia="华文中宋" w:cs="宋体"/>
          <w:b/>
          <w:kern w:val="0"/>
          <w:sz w:val="52"/>
          <w:szCs w:val="52"/>
        </w:rPr>
      </w:pPr>
    </w:p>
    <w:p w14:paraId="07F44F28">
      <w:pPr>
        <w:spacing w:line="540" w:lineRule="exact"/>
        <w:jc w:val="center"/>
        <w:rPr>
          <w:rFonts w:ascii="华文中宋" w:hAnsi="华文中宋" w:eastAsia="华文中宋" w:cs="宋体"/>
          <w:b/>
          <w:kern w:val="0"/>
          <w:sz w:val="52"/>
          <w:szCs w:val="52"/>
        </w:rPr>
      </w:pPr>
    </w:p>
    <w:p w14:paraId="25F77CC1">
      <w:pPr>
        <w:spacing w:line="540" w:lineRule="exact"/>
        <w:jc w:val="center"/>
        <w:rPr>
          <w:rFonts w:ascii="华文中宋" w:hAnsi="华文中宋" w:eastAsia="华文中宋" w:cs="宋体"/>
          <w:b/>
          <w:kern w:val="0"/>
          <w:sz w:val="52"/>
          <w:szCs w:val="52"/>
        </w:rPr>
      </w:pPr>
    </w:p>
    <w:p w14:paraId="5FE8F291">
      <w:pPr>
        <w:spacing w:line="540" w:lineRule="exact"/>
        <w:jc w:val="center"/>
        <w:rPr>
          <w:rFonts w:ascii="华文中宋" w:hAnsi="华文中宋" w:eastAsia="华文中宋" w:cs="宋体"/>
          <w:b/>
          <w:kern w:val="0"/>
          <w:sz w:val="52"/>
          <w:szCs w:val="52"/>
        </w:rPr>
      </w:pPr>
    </w:p>
    <w:p w14:paraId="7E5CBB0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8A870CE">
      <w:pPr>
        <w:spacing w:line="540" w:lineRule="exact"/>
        <w:jc w:val="center"/>
        <w:rPr>
          <w:rFonts w:ascii="华文中宋" w:hAnsi="华文中宋" w:eastAsia="华文中宋" w:cs="宋体"/>
          <w:b/>
          <w:kern w:val="0"/>
          <w:sz w:val="52"/>
          <w:szCs w:val="52"/>
        </w:rPr>
      </w:pPr>
    </w:p>
    <w:p w14:paraId="359F4BB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 xml:space="preserve">   </w:t>
      </w:r>
      <w:r>
        <w:rPr>
          <w:rStyle w:val="18"/>
          <w:rFonts w:ascii="楷体" w:hAnsi="楷体" w:eastAsia="楷体"/>
          <w:spacing w:val="-4"/>
          <w:sz w:val="32"/>
          <w:szCs w:val="32"/>
        </w:rPr>
        <w:t>2023</w:t>
      </w:r>
      <w:r>
        <w:rPr>
          <w:rFonts w:hAnsi="宋体" w:eastAsia="仿宋_GB2312" w:cs="宋体"/>
          <w:kern w:val="0"/>
          <w:sz w:val="36"/>
          <w:szCs w:val="36"/>
        </w:rPr>
        <w:t xml:space="preserve">  </w:t>
      </w:r>
      <w:r>
        <w:rPr>
          <w:rFonts w:hint="eastAsia" w:hAnsi="宋体" w:eastAsia="仿宋_GB2312" w:cs="宋体"/>
          <w:kern w:val="0"/>
          <w:sz w:val="36"/>
          <w:szCs w:val="36"/>
        </w:rPr>
        <w:t>年度）</w:t>
      </w:r>
    </w:p>
    <w:p w14:paraId="72B78107">
      <w:pPr>
        <w:spacing w:line="540" w:lineRule="exact"/>
        <w:jc w:val="center"/>
        <w:rPr>
          <w:rFonts w:hAnsi="宋体" w:eastAsia="仿宋_GB2312" w:cs="宋体"/>
          <w:kern w:val="0"/>
          <w:sz w:val="30"/>
          <w:szCs w:val="30"/>
        </w:rPr>
      </w:pPr>
    </w:p>
    <w:p w14:paraId="302CE395">
      <w:pPr>
        <w:spacing w:line="540" w:lineRule="exact"/>
        <w:jc w:val="center"/>
        <w:rPr>
          <w:rFonts w:hAnsi="宋体" w:eastAsia="仿宋_GB2312" w:cs="宋体"/>
          <w:kern w:val="0"/>
          <w:sz w:val="30"/>
          <w:szCs w:val="30"/>
        </w:rPr>
      </w:pPr>
    </w:p>
    <w:p w14:paraId="0DA4AD95">
      <w:pPr>
        <w:spacing w:line="540" w:lineRule="exact"/>
        <w:jc w:val="center"/>
        <w:rPr>
          <w:rFonts w:hAnsi="宋体" w:eastAsia="仿宋_GB2312" w:cs="宋体"/>
          <w:kern w:val="0"/>
          <w:sz w:val="30"/>
          <w:szCs w:val="30"/>
        </w:rPr>
      </w:pPr>
    </w:p>
    <w:p w14:paraId="29AF2648">
      <w:pPr>
        <w:spacing w:line="540" w:lineRule="exact"/>
        <w:jc w:val="center"/>
        <w:rPr>
          <w:rFonts w:hAnsi="宋体" w:eastAsia="仿宋_GB2312" w:cs="宋体"/>
          <w:kern w:val="0"/>
          <w:sz w:val="30"/>
          <w:szCs w:val="30"/>
        </w:rPr>
      </w:pPr>
    </w:p>
    <w:p w14:paraId="662029BA">
      <w:pPr>
        <w:spacing w:line="540" w:lineRule="exact"/>
        <w:jc w:val="center"/>
        <w:rPr>
          <w:rFonts w:hAnsi="宋体" w:eastAsia="仿宋_GB2312" w:cs="宋体"/>
          <w:kern w:val="0"/>
          <w:sz w:val="30"/>
          <w:szCs w:val="30"/>
        </w:rPr>
      </w:pPr>
    </w:p>
    <w:p w14:paraId="6F4056DF">
      <w:pPr>
        <w:spacing w:line="700" w:lineRule="exact"/>
        <w:jc w:val="left"/>
        <w:rPr>
          <w:rFonts w:hAnsi="宋体" w:eastAsia="仿宋_GB2312" w:cs="宋体"/>
          <w:kern w:val="0"/>
          <w:sz w:val="36"/>
          <w:szCs w:val="36"/>
        </w:rPr>
      </w:pPr>
    </w:p>
    <w:p w14:paraId="314ECB8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昌州财农【</w:t>
      </w:r>
      <w:r>
        <w:rPr>
          <w:rStyle w:val="18"/>
          <w:rFonts w:ascii="楷体" w:hAnsi="楷体" w:eastAsia="楷体"/>
          <w:spacing w:val="-4"/>
          <w:sz w:val="32"/>
          <w:szCs w:val="32"/>
        </w:rPr>
        <w:t>2022</w:t>
      </w:r>
      <w:r>
        <w:rPr>
          <w:rStyle w:val="18"/>
          <w:rFonts w:hint="eastAsia" w:ascii="楷体" w:hAnsi="楷体" w:eastAsia="楷体"/>
          <w:spacing w:val="-4"/>
          <w:sz w:val="32"/>
          <w:szCs w:val="32"/>
        </w:rPr>
        <w:t>】</w:t>
      </w:r>
      <w:r>
        <w:rPr>
          <w:rStyle w:val="18"/>
          <w:rFonts w:ascii="楷体" w:hAnsi="楷体" w:eastAsia="楷体"/>
          <w:spacing w:val="-4"/>
          <w:sz w:val="32"/>
          <w:szCs w:val="32"/>
        </w:rPr>
        <w:t>61</w:t>
      </w:r>
      <w:r>
        <w:rPr>
          <w:rStyle w:val="18"/>
          <w:rFonts w:hint="eastAsia" w:ascii="楷体" w:hAnsi="楷体" w:eastAsia="楷体"/>
          <w:spacing w:val="-4"/>
          <w:sz w:val="32"/>
          <w:szCs w:val="32"/>
        </w:rPr>
        <w:t>号</w:t>
      </w:r>
      <w:r>
        <w:rPr>
          <w:rStyle w:val="18"/>
          <w:rFonts w:ascii="楷体" w:hAnsi="楷体" w:eastAsia="楷体"/>
          <w:spacing w:val="-4"/>
          <w:sz w:val="32"/>
          <w:szCs w:val="32"/>
        </w:rPr>
        <w:t>-</w:t>
      </w:r>
      <w:r>
        <w:rPr>
          <w:rStyle w:val="18"/>
          <w:rFonts w:hint="eastAsia" w:ascii="楷体" w:hAnsi="楷体" w:eastAsia="楷体"/>
          <w:spacing w:val="-4"/>
          <w:sz w:val="32"/>
          <w:szCs w:val="32"/>
        </w:rPr>
        <w:t>关于提前下达</w:t>
      </w:r>
      <w:r>
        <w:rPr>
          <w:rStyle w:val="18"/>
          <w:rFonts w:ascii="楷体" w:hAnsi="楷体" w:eastAsia="楷体"/>
          <w:spacing w:val="-4"/>
          <w:sz w:val="32"/>
          <w:szCs w:val="32"/>
        </w:rPr>
        <w:t>2023</w:t>
      </w:r>
      <w:r>
        <w:rPr>
          <w:rStyle w:val="18"/>
          <w:rFonts w:hint="eastAsia" w:ascii="楷体" w:hAnsi="楷体" w:eastAsia="楷体"/>
          <w:spacing w:val="-4"/>
          <w:sz w:val="32"/>
          <w:szCs w:val="32"/>
        </w:rPr>
        <w:t>年中央动物防疫等补助经费</w:t>
      </w:r>
      <w:bookmarkStart w:id="0" w:name="_GoBack"/>
      <w:bookmarkEnd w:id="0"/>
    </w:p>
    <w:p w14:paraId="1E181371">
      <w:pPr>
        <w:spacing w:line="540" w:lineRule="exact"/>
        <w:ind w:firstLine="567"/>
        <w:rPr>
          <w:rFonts w:ascii="楷体" w:hAnsi="楷体" w:eastAsia="楷体"/>
          <w:b/>
          <w:bCs/>
          <w:spacing w:val="-4"/>
          <w:sz w:val="32"/>
          <w:szCs w:val="32"/>
        </w:rPr>
      </w:pPr>
      <w:r>
        <w:rPr>
          <w:rFonts w:hAnsi="宋体" w:eastAsia="仿宋_GB2312" w:cs="宋体"/>
          <w:kern w:val="0"/>
          <w:sz w:val="36"/>
          <w:szCs w:val="36"/>
        </w:rPr>
        <w:t xml:space="preserve">  </w:t>
      </w:r>
      <w:r>
        <w:rPr>
          <w:rFonts w:hint="eastAsia" w:hAnsi="宋体" w:eastAsia="仿宋_GB2312" w:cs="宋体"/>
          <w:kern w:val="0"/>
          <w:sz w:val="36"/>
          <w:szCs w:val="36"/>
        </w:rPr>
        <w:t>实施单位（公章）：</w:t>
      </w:r>
      <w:r>
        <w:rPr>
          <w:rStyle w:val="18"/>
          <w:rFonts w:hint="eastAsia" w:ascii="楷体" w:hAnsi="楷体" w:eastAsia="楷体"/>
          <w:spacing w:val="-4"/>
          <w:sz w:val="28"/>
          <w:szCs w:val="28"/>
        </w:rPr>
        <w:t>木垒哈萨克自治县动物</w:t>
      </w:r>
      <w:r>
        <w:rPr>
          <w:rStyle w:val="18"/>
          <w:rFonts w:hint="eastAsia" w:ascii="楷体" w:hAnsi="楷体" w:eastAsia="楷体"/>
          <w:spacing w:val="-4"/>
          <w:sz w:val="28"/>
          <w:szCs w:val="28"/>
          <w:lang w:val="en-US" w:eastAsia="zh-CN"/>
        </w:rPr>
        <w:t>疾</w:t>
      </w:r>
      <w:r>
        <w:rPr>
          <w:rStyle w:val="18"/>
          <w:rFonts w:hint="eastAsia" w:ascii="楷体" w:hAnsi="楷体" w:eastAsia="楷体"/>
          <w:spacing w:val="-4"/>
          <w:sz w:val="28"/>
          <w:szCs w:val="28"/>
        </w:rPr>
        <w:t>病预防控制中心</w:t>
      </w:r>
    </w:p>
    <w:p w14:paraId="6DBBC00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木垒哈萨克自治县动物</w:t>
      </w:r>
      <w:r>
        <w:rPr>
          <w:rStyle w:val="18"/>
          <w:rFonts w:hint="eastAsia" w:ascii="楷体" w:hAnsi="楷体" w:eastAsia="楷体"/>
          <w:spacing w:val="-4"/>
          <w:sz w:val="28"/>
          <w:szCs w:val="28"/>
          <w:lang w:val="en-US" w:eastAsia="zh-CN"/>
        </w:rPr>
        <w:t>疾</w:t>
      </w:r>
      <w:r>
        <w:rPr>
          <w:rStyle w:val="18"/>
          <w:rFonts w:hint="eastAsia" w:ascii="楷体" w:hAnsi="楷体" w:eastAsia="楷体"/>
          <w:spacing w:val="-4"/>
          <w:sz w:val="28"/>
          <w:szCs w:val="28"/>
        </w:rPr>
        <w:t>病预防控制中心</w:t>
      </w:r>
    </w:p>
    <w:p w14:paraId="76E7790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哈力木别克</w:t>
      </w:r>
    </w:p>
    <w:p w14:paraId="65C45F8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ascii="楷体" w:hAnsi="楷体" w:eastAsia="楷体"/>
          <w:spacing w:val="-4"/>
          <w:sz w:val="32"/>
          <w:szCs w:val="32"/>
        </w:rPr>
        <w:t>2024</w:t>
      </w:r>
      <w:r>
        <w:rPr>
          <w:rStyle w:val="18"/>
          <w:rFonts w:hint="eastAsia" w:ascii="楷体" w:hAnsi="楷体" w:eastAsia="楷体"/>
          <w:spacing w:val="-4"/>
          <w:sz w:val="32"/>
          <w:szCs w:val="32"/>
        </w:rPr>
        <w:t>年</w:t>
      </w:r>
      <w:r>
        <w:rPr>
          <w:rStyle w:val="18"/>
          <w:rFonts w:ascii="楷体" w:hAnsi="楷体" w:eastAsia="楷体"/>
          <w:spacing w:val="-4"/>
          <w:sz w:val="32"/>
          <w:szCs w:val="32"/>
        </w:rPr>
        <w:t>04</w:t>
      </w:r>
      <w:r>
        <w:rPr>
          <w:rStyle w:val="18"/>
          <w:rFonts w:hint="eastAsia" w:ascii="楷体" w:hAnsi="楷体" w:eastAsia="楷体"/>
          <w:spacing w:val="-4"/>
          <w:sz w:val="32"/>
          <w:szCs w:val="32"/>
        </w:rPr>
        <w:t>月</w:t>
      </w:r>
      <w:r>
        <w:rPr>
          <w:rStyle w:val="18"/>
          <w:rFonts w:ascii="楷体" w:hAnsi="楷体" w:eastAsia="楷体"/>
          <w:spacing w:val="-4"/>
          <w:sz w:val="32"/>
          <w:szCs w:val="32"/>
        </w:rPr>
        <w:t>01</w:t>
      </w:r>
      <w:r>
        <w:rPr>
          <w:rStyle w:val="18"/>
          <w:rFonts w:hint="eastAsia" w:ascii="楷体" w:hAnsi="楷体" w:eastAsia="楷体"/>
          <w:spacing w:val="-4"/>
          <w:sz w:val="32"/>
          <w:szCs w:val="32"/>
        </w:rPr>
        <w:t>日</w:t>
      </w:r>
    </w:p>
    <w:p w14:paraId="492F5927">
      <w:pPr>
        <w:spacing w:line="700" w:lineRule="exact"/>
        <w:ind w:firstLine="708" w:firstLineChars="236"/>
        <w:jc w:val="left"/>
        <w:rPr>
          <w:rFonts w:hAnsi="宋体" w:eastAsia="仿宋_GB2312" w:cs="宋体"/>
          <w:kern w:val="0"/>
          <w:sz w:val="30"/>
          <w:szCs w:val="30"/>
        </w:rPr>
      </w:pPr>
    </w:p>
    <w:p w14:paraId="5EE9870A">
      <w:pPr>
        <w:spacing w:line="540" w:lineRule="exact"/>
        <w:rPr>
          <w:rStyle w:val="18"/>
          <w:rFonts w:ascii="黑体" w:hAnsi="黑体" w:eastAsia="黑体"/>
          <w:b w:val="0"/>
          <w:spacing w:val="-4"/>
          <w:sz w:val="32"/>
          <w:szCs w:val="32"/>
        </w:rPr>
      </w:pPr>
    </w:p>
    <w:p w14:paraId="7B258A5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28A0DD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7D07900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为贯彻落实党中央全面实施预算绩效管理决策部署，根据自治区财政厅《关于提前下达</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年中央动物防疫等补助经费预算的通知》（昌州财农〔</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61</w:t>
      </w:r>
      <w:r>
        <w:rPr>
          <w:rStyle w:val="18"/>
          <w:rFonts w:hint="eastAsia" w:ascii="楷体" w:hAnsi="楷体" w:eastAsia="楷体"/>
          <w:b w:val="0"/>
          <w:bCs w:val="0"/>
          <w:spacing w:val="-4"/>
          <w:sz w:val="32"/>
          <w:szCs w:val="32"/>
        </w:rPr>
        <w:t>号），县农业农村局高度重视，为进一步规范和加强中央、州、县动物防疫等补助经费转移支付资金管理，提高资金使用效益，强化重大动物防控工作。</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项目背景</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为贯彻落实党中央全面实施预算绩效管理决策部署，根据自治区财政厅《关于提前下达</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年中央动物防疫等补助经费预算的通知》（昌州财农〔</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61</w:t>
      </w:r>
      <w:r>
        <w:rPr>
          <w:rStyle w:val="18"/>
          <w:rFonts w:hint="eastAsia" w:ascii="楷体" w:hAnsi="楷体" w:eastAsia="楷体"/>
          <w:b w:val="0"/>
          <w:bCs w:val="0"/>
          <w:spacing w:val="-4"/>
          <w:sz w:val="32"/>
          <w:szCs w:val="32"/>
        </w:rPr>
        <w:t>号），县农业农村局高度重视，为进一步规范和加强中央、州、县动物防疫等补助经费转移支付资金管理，提高资金使用效益，强化重大动物防控工作，服务乡村振兴战略，现就</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年度中央动物防疫等补助经费预算使用实施本次方案。</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项目主要内容</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根据昌州财农〔</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61</w:t>
      </w:r>
      <w:r>
        <w:rPr>
          <w:rStyle w:val="18"/>
          <w:rFonts w:hint="eastAsia" w:ascii="楷体" w:hAnsi="楷体" w:eastAsia="楷体"/>
          <w:b w:val="0"/>
          <w:bCs w:val="0"/>
          <w:spacing w:val="-4"/>
          <w:sz w:val="32"/>
          <w:szCs w:val="32"/>
        </w:rPr>
        <w:t>号文件批复，下达《关于提前下达</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年中央动物防疫等补助经费预算的通知》资金</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万元，主要用于发放村级防疫员补助</w:t>
      </w:r>
      <w:r>
        <w:rPr>
          <w:rStyle w:val="18"/>
          <w:rFonts w:ascii="楷体" w:hAnsi="楷体" w:eastAsia="楷体"/>
          <w:b w:val="0"/>
          <w:bCs w:val="0"/>
          <w:spacing w:val="-4"/>
          <w:sz w:val="32"/>
          <w:szCs w:val="32"/>
        </w:rPr>
        <w:t>96.3</w:t>
      </w:r>
      <w:r>
        <w:rPr>
          <w:rStyle w:val="18"/>
          <w:rFonts w:hint="eastAsia" w:ascii="楷体" w:hAnsi="楷体" w:eastAsia="楷体"/>
          <w:b w:val="0"/>
          <w:bCs w:val="0"/>
          <w:spacing w:val="-4"/>
          <w:sz w:val="32"/>
          <w:szCs w:val="32"/>
        </w:rPr>
        <w:t>万元（包括购买防疫物资），购买人蓄共患病</w:t>
      </w:r>
      <w:r>
        <w:rPr>
          <w:rStyle w:val="18"/>
          <w:rFonts w:ascii="楷体" w:hAnsi="楷体" w:eastAsia="楷体"/>
          <w:b w:val="0"/>
          <w:bCs w:val="0"/>
          <w:spacing w:val="-4"/>
          <w:sz w:val="32"/>
          <w:szCs w:val="32"/>
        </w:rPr>
        <w:t>2.25</w:t>
      </w:r>
      <w:r>
        <w:rPr>
          <w:rStyle w:val="18"/>
          <w:rFonts w:hint="eastAsia" w:ascii="楷体" w:hAnsi="楷体" w:eastAsia="楷体"/>
          <w:b w:val="0"/>
          <w:bCs w:val="0"/>
          <w:spacing w:val="-4"/>
          <w:sz w:val="32"/>
          <w:szCs w:val="32"/>
        </w:rPr>
        <w:t>万元，购买人身意外伤害保险</w:t>
      </w:r>
      <w:r>
        <w:rPr>
          <w:rStyle w:val="18"/>
          <w:rFonts w:ascii="楷体" w:hAnsi="楷体" w:eastAsia="楷体"/>
          <w:b w:val="0"/>
          <w:bCs w:val="0"/>
          <w:spacing w:val="-4"/>
          <w:sz w:val="32"/>
          <w:szCs w:val="32"/>
        </w:rPr>
        <w:t>0.75</w:t>
      </w:r>
      <w:r>
        <w:rPr>
          <w:rStyle w:val="18"/>
          <w:rFonts w:hint="eastAsia" w:ascii="楷体" w:hAnsi="楷体" w:eastAsia="楷体"/>
          <w:b w:val="0"/>
          <w:bCs w:val="0"/>
          <w:spacing w:val="-4"/>
          <w:sz w:val="32"/>
          <w:szCs w:val="32"/>
        </w:rPr>
        <w:t>万元，养殖环节无害化处理补助</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项目实施情况</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本项目由木垒县动物记疫病预防控制中心牵头，主要对</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年度村级防疫员补助，村级防疫员购买人蓄共患及病人身意外伤害保险和养殖环节无害化处理补助等。</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项目一部分</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20</w:t>
      </w:r>
      <w:r>
        <w:rPr>
          <w:rStyle w:val="18"/>
          <w:rFonts w:hint="eastAsia" w:ascii="楷体" w:hAnsi="楷体" w:eastAsia="楷体"/>
          <w:b w:val="0"/>
          <w:bCs w:val="0"/>
          <w:spacing w:val="-4"/>
          <w:sz w:val="32"/>
          <w:szCs w:val="32"/>
        </w:rPr>
        <w:t>日由木垒县动物疫病预防控制中心通过政府采购网上询价方式确定了江西纯洁医疗器械有限公司为项目的供货单位，货物运抵我单位防疫科处后，由单位防疫科人负责核对数量及质量进行验收，并签署了验收合格单。</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月，由木垒县乡镇上报经核实后的补助人员花名册，由木垒县动物疫病预防控制中心防疫科进行确认审核后交财务室，由财务室人员复核后将补助资金发放至各补助人员银行卡内，项目于</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26</w:t>
      </w:r>
      <w:r>
        <w:rPr>
          <w:rStyle w:val="18"/>
          <w:rFonts w:hint="eastAsia" w:ascii="楷体" w:hAnsi="楷体" w:eastAsia="楷体"/>
          <w:b w:val="0"/>
          <w:bCs w:val="0"/>
          <w:spacing w:val="-4"/>
          <w:sz w:val="32"/>
          <w:szCs w:val="32"/>
        </w:rPr>
        <w:t>日已执行完毕。</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资金投入和使用情况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年中央动物防疫等补助项目资金</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8</w:t>
      </w:r>
      <w:r>
        <w:rPr>
          <w:rStyle w:val="18"/>
          <w:rFonts w:hint="eastAsia" w:ascii="楷体" w:hAnsi="楷体" w:eastAsia="楷体"/>
          <w:b w:val="0"/>
          <w:bCs w:val="0"/>
          <w:spacing w:val="-4"/>
          <w:sz w:val="32"/>
          <w:szCs w:val="32"/>
        </w:rPr>
        <w:t>日昌吉州财政局下发（昌州财农〔</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61</w:t>
      </w:r>
      <w:r>
        <w:rPr>
          <w:rStyle w:val="18"/>
          <w:rFonts w:hint="eastAsia" w:ascii="楷体" w:hAnsi="楷体" w:eastAsia="楷体"/>
          <w:b w:val="0"/>
          <w:bCs w:val="0"/>
          <w:spacing w:val="-4"/>
          <w:sz w:val="32"/>
          <w:szCs w:val="32"/>
        </w:rPr>
        <w:t>号）文件安排资金为</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万元，为上级财政资金，实际到位率</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万元，资金到位率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，实际执行</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万元，执行率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资金落实到位。为确保项目资金的安全有效使用、安全运行，提高资金的使用效率，我单位严格按照木垒县动物疫病预防控制中心财务会计内部控制制度执行，资金由财政大平台统一拨付，由财政监管，严禁随意调整预算，改变支出用途，做到专款专用，严禁截留、挪用、挤占项目资金等违规违纪问题的发生</w:t>
      </w:r>
    </w:p>
    <w:p w14:paraId="209D98F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9CA31FE">
      <w:pPr>
        <w:spacing w:line="540" w:lineRule="exact"/>
        <w:ind w:firstLine="567"/>
        <w:rPr>
          <w:rStyle w:val="18"/>
          <w:rFonts w:ascii="楷体" w:hAnsi="楷体" w:eastAsia="楷体"/>
          <w:b w:val="0"/>
          <w:bCs w:val="0"/>
          <w:spacing w:val="-4"/>
          <w:sz w:val="32"/>
          <w:szCs w:val="32"/>
        </w:rPr>
      </w:pP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总体目标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保障发放村级防疫员补助</w:t>
      </w:r>
      <w:r>
        <w:rPr>
          <w:rStyle w:val="18"/>
          <w:rFonts w:ascii="楷体" w:hAnsi="楷体" w:eastAsia="楷体"/>
          <w:b w:val="0"/>
          <w:bCs w:val="0"/>
          <w:spacing w:val="-4"/>
          <w:sz w:val="32"/>
          <w:szCs w:val="32"/>
        </w:rPr>
        <w:t>96.3</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保障购买人畜共患病保险</w:t>
      </w:r>
      <w:r>
        <w:rPr>
          <w:rStyle w:val="18"/>
          <w:rFonts w:ascii="楷体" w:hAnsi="楷体" w:eastAsia="楷体"/>
          <w:b w:val="0"/>
          <w:bCs w:val="0"/>
          <w:spacing w:val="-4"/>
          <w:sz w:val="32"/>
          <w:szCs w:val="32"/>
        </w:rPr>
        <w:t>2.25</w:t>
      </w:r>
      <w:r>
        <w:rPr>
          <w:rStyle w:val="18"/>
          <w:rFonts w:hint="eastAsia" w:ascii="楷体" w:hAnsi="楷体" w:eastAsia="楷体"/>
          <w:b w:val="0"/>
          <w:bCs w:val="0"/>
          <w:spacing w:val="-4"/>
          <w:sz w:val="32"/>
          <w:szCs w:val="32"/>
        </w:rPr>
        <w:t>万元，购买人身意外伤害保险</w:t>
      </w:r>
      <w:r>
        <w:rPr>
          <w:rStyle w:val="18"/>
          <w:rFonts w:ascii="楷体" w:hAnsi="楷体" w:eastAsia="楷体"/>
          <w:b w:val="0"/>
          <w:bCs w:val="0"/>
          <w:spacing w:val="-4"/>
          <w:sz w:val="32"/>
          <w:szCs w:val="32"/>
        </w:rPr>
        <w:t>0.75</w:t>
      </w:r>
      <w:r>
        <w:rPr>
          <w:rStyle w:val="18"/>
          <w:rFonts w:hint="eastAsia" w:ascii="楷体" w:hAnsi="楷体" w:eastAsia="楷体"/>
          <w:b w:val="0"/>
          <w:bCs w:val="0"/>
          <w:spacing w:val="-4"/>
          <w:sz w:val="32"/>
          <w:szCs w:val="32"/>
        </w:rPr>
        <w:t>万元；保障发放养殖环节无害化处理补助</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强制免疫密度达到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，免疫抗体合格率达到</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以上。</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阶段性目标：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截至项目自评，本项目已完成如下工作：养殖环节病死猪无害化处理补助头数大于</w:t>
      </w:r>
      <w:r>
        <w:rPr>
          <w:rStyle w:val="18"/>
          <w:rFonts w:ascii="楷体" w:hAnsi="楷体" w:eastAsia="楷体"/>
          <w:b w:val="0"/>
          <w:bCs w:val="0"/>
          <w:spacing w:val="-4"/>
          <w:sz w:val="32"/>
          <w:szCs w:val="32"/>
        </w:rPr>
        <w:t>847</w:t>
      </w:r>
      <w:r>
        <w:rPr>
          <w:rStyle w:val="18"/>
          <w:rFonts w:hint="eastAsia" w:ascii="楷体" w:hAnsi="楷体" w:eastAsia="楷体"/>
          <w:b w:val="0"/>
          <w:bCs w:val="0"/>
          <w:spacing w:val="-4"/>
          <w:sz w:val="32"/>
          <w:szCs w:val="32"/>
        </w:rPr>
        <w:t>头，完成包虫病犬的驱虫数量</w:t>
      </w:r>
      <w:r>
        <w:rPr>
          <w:rStyle w:val="18"/>
          <w:rFonts w:ascii="楷体" w:hAnsi="楷体" w:eastAsia="楷体"/>
          <w:b w:val="0"/>
          <w:bCs w:val="0"/>
          <w:spacing w:val="-4"/>
          <w:sz w:val="32"/>
          <w:szCs w:val="32"/>
        </w:rPr>
        <w:t>0.94</w:t>
      </w:r>
      <w:r>
        <w:rPr>
          <w:rStyle w:val="18"/>
          <w:rFonts w:hint="eastAsia" w:ascii="楷体" w:hAnsi="楷体" w:eastAsia="楷体"/>
          <w:b w:val="0"/>
          <w:bCs w:val="0"/>
          <w:spacing w:val="-4"/>
          <w:sz w:val="32"/>
          <w:szCs w:val="32"/>
        </w:rPr>
        <w:t>万只，村级防疫员人数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人。补助经费发放率均达到</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：已完成发放村级防疫员补助</w:t>
      </w:r>
      <w:r>
        <w:rPr>
          <w:rStyle w:val="18"/>
          <w:rFonts w:ascii="楷体" w:hAnsi="楷体" w:eastAsia="楷体"/>
          <w:b w:val="0"/>
          <w:bCs w:val="0"/>
          <w:spacing w:val="-4"/>
          <w:sz w:val="32"/>
          <w:szCs w:val="32"/>
        </w:rPr>
        <w:t>96.3</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：完成购买人畜共患病保险</w:t>
      </w:r>
      <w:r>
        <w:rPr>
          <w:rStyle w:val="18"/>
          <w:rFonts w:ascii="楷体" w:hAnsi="楷体" w:eastAsia="楷体"/>
          <w:b w:val="0"/>
          <w:bCs w:val="0"/>
          <w:spacing w:val="-4"/>
          <w:sz w:val="32"/>
          <w:szCs w:val="32"/>
        </w:rPr>
        <w:t>2.25</w:t>
      </w:r>
      <w:r>
        <w:rPr>
          <w:rStyle w:val="18"/>
          <w:rFonts w:hint="eastAsia" w:ascii="楷体" w:hAnsi="楷体" w:eastAsia="楷体"/>
          <w:b w:val="0"/>
          <w:bCs w:val="0"/>
          <w:spacing w:val="-4"/>
          <w:sz w:val="32"/>
          <w:szCs w:val="32"/>
        </w:rPr>
        <w:t>万元，购买人身意外伤害保险</w:t>
      </w:r>
      <w:r>
        <w:rPr>
          <w:rStyle w:val="18"/>
          <w:rFonts w:ascii="楷体" w:hAnsi="楷体" w:eastAsia="楷体"/>
          <w:b w:val="0"/>
          <w:bCs w:val="0"/>
          <w:spacing w:val="-4"/>
          <w:sz w:val="32"/>
          <w:szCs w:val="32"/>
        </w:rPr>
        <w:t>0.75</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：完成发放养殖环节无害化处理补助</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：全年强制免疫密度达到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，免疫抗体合格率达到</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以上。</w:t>
      </w:r>
    </w:p>
    <w:p w14:paraId="662CFDE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85A7B7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8510B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绩效评价目的</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年度本级财政下拨的</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绩效评价对象</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木垒县动物疫病预防控制中心</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年中央动物防疫等补助经费项目支出资金。</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绩效评价范围</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本次评价主要对木垒县动物疫病预防控制中心</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年中央动物防疫等补助经费项目的工作完成情况、完成效果及村级防疫员满意度进行评价，具体从项目决策、项目产出、产出质量、产出时效和产出成本）、项目效益四个维度来评价。</w:t>
      </w:r>
    </w:p>
    <w:p w14:paraId="005ADCD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52C0703">
      <w:pPr>
        <w:spacing w:line="540" w:lineRule="exact"/>
        <w:ind w:firstLine="567"/>
        <w:rPr>
          <w:rStyle w:val="18"/>
          <w:rFonts w:ascii="楷体" w:hAnsi="楷体" w:eastAsia="楷体"/>
          <w:b w:val="0"/>
          <w:bCs w:val="0"/>
          <w:spacing w:val="-4"/>
          <w:sz w:val="32"/>
          <w:szCs w:val="32"/>
        </w:rPr>
      </w:pP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绩效评价原则</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w:t>
      </w:r>
      <w:r>
        <w:rPr>
          <w:rStyle w:val="18"/>
          <w:rFonts w:ascii="楷体" w:hAnsi="楷体" w:eastAsia="楷体"/>
          <w:b w:val="0"/>
          <w:bCs w:val="0"/>
          <w:spacing w:val="-4"/>
          <w:sz w:val="32"/>
          <w:szCs w:val="32"/>
        </w:rPr>
        <w:t>&lt;</w:t>
      </w:r>
      <w:r>
        <w:rPr>
          <w:rStyle w:val="18"/>
          <w:rFonts w:hint="eastAsia" w:ascii="楷体" w:hAnsi="楷体" w:eastAsia="楷体"/>
          <w:b w:val="0"/>
          <w:bCs w:val="0"/>
          <w:spacing w:val="-4"/>
          <w:sz w:val="32"/>
          <w:szCs w:val="32"/>
        </w:rPr>
        <w:t>项目支出绩效评价管理办法</w:t>
      </w:r>
      <w:r>
        <w:rPr>
          <w:rStyle w:val="18"/>
          <w:rFonts w:ascii="楷体" w:hAnsi="楷体" w:eastAsia="楷体"/>
          <w:b w:val="0"/>
          <w:bCs w:val="0"/>
          <w:spacing w:val="-4"/>
          <w:sz w:val="32"/>
          <w:szCs w:val="32"/>
        </w:rPr>
        <w:t>&gt;</w:t>
      </w:r>
      <w:r>
        <w:rPr>
          <w:rStyle w:val="18"/>
          <w:rFonts w:hint="eastAsia" w:ascii="楷体" w:hAnsi="楷体" w:eastAsia="楷体"/>
          <w:b w:val="0"/>
          <w:bCs w:val="0"/>
          <w:spacing w:val="-4"/>
          <w:sz w:val="32"/>
          <w:szCs w:val="32"/>
        </w:rPr>
        <w:t>的通知》（财预【</w:t>
      </w:r>
      <w:r>
        <w:rPr>
          <w:rStyle w:val="18"/>
          <w:rFonts w:ascii="楷体" w:hAnsi="楷体" w:eastAsia="楷体"/>
          <w:b w:val="0"/>
          <w:bCs w:val="0"/>
          <w:spacing w:val="-4"/>
          <w:sz w:val="32"/>
          <w:szCs w:val="32"/>
        </w:rPr>
        <w:t>2020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10</w:t>
      </w:r>
      <w:r>
        <w:rPr>
          <w:rStyle w:val="18"/>
          <w:rFonts w:hint="eastAsia" w:ascii="楷体" w:hAnsi="楷体" w:eastAsia="楷体"/>
          <w:b w:val="0"/>
          <w:bCs w:val="0"/>
          <w:spacing w:val="-4"/>
          <w:sz w:val="32"/>
          <w:szCs w:val="32"/>
        </w:rPr>
        <w:t>号）等文件要求，按照科学合理的方式，综合分析考核项目的绩效情况。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）科学规范原则。坚持严格执行规定的程序，按照科学可行的要求，采用定量与定性分析相结合的方法。</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）公正公开原则。坚持符合真实、客观、公正的要求，依法公开并接受监督。</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）分级分类原则。坚持根据评价对象的特点分类组织实施。</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）绩效相关原则。应当针对具体支出及其产出绩效进行，评价结果应当清晰反映支出和产出绩效之间的紧密对应关系。</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评价指标体系</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个一级指标，其中：项目决策下项目立项、绩效目标、资金投入</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个二级指标；过程下设资金管理和组织实施</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个二级指标。个性指标下设产出和效益</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个一级指标，其中产出下设产出数量、产出质量、产出时效、产出成本</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个</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级指标，效益下设项目效益</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个二级指标。并以此设定各项指标的分值分配：决策、过程、产出、效果。本次绩效评价实行百分制，即各项指标值之和为</w:t>
      </w:r>
      <w:r>
        <w:rPr>
          <w:rStyle w:val="18"/>
          <w:rFonts w:ascii="楷体" w:hAnsi="楷体" w:eastAsia="楷体"/>
          <w:b w:val="0"/>
          <w:bCs w:val="0"/>
          <w:spacing w:val="-4"/>
          <w:sz w:val="32"/>
          <w:szCs w:val="32"/>
        </w:rPr>
        <w:t>95</w:t>
      </w:r>
      <w:r>
        <w:rPr>
          <w:rStyle w:val="18"/>
          <w:rFonts w:hint="eastAsia" w:ascii="楷体" w:hAnsi="楷体" w:eastAsia="楷体"/>
          <w:b w:val="0"/>
          <w:bCs w:val="0"/>
          <w:spacing w:val="-4"/>
          <w:sz w:val="32"/>
          <w:szCs w:val="32"/>
        </w:rPr>
        <w:t>分，项目采用综合评分法进行绩效评价。见附表</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评价方法</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评价标准</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“定性的调查信息的归纳和提炼”，两种方式互相补充以构成对本次项目的完整评价。</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财预〔</w:t>
      </w:r>
      <w:r>
        <w:rPr>
          <w:rStyle w:val="18"/>
          <w:rFonts w:ascii="楷体" w:hAnsi="楷体" w:eastAsia="楷体"/>
          <w:b w:val="0"/>
          <w:bCs w:val="0"/>
          <w:spacing w:val="-4"/>
          <w:sz w:val="32"/>
          <w:szCs w:val="32"/>
        </w:rPr>
        <w:t>2020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10</w:t>
      </w:r>
      <w:r>
        <w:rPr>
          <w:rStyle w:val="18"/>
          <w:rFonts w:hint="eastAsia" w:ascii="楷体" w:hAnsi="楷体" w:eastAsia="楷体"/>
          <w:b w:val="0"/>
          <w:bCs w:val="0"/>
          <w:spacing w:val="-4"/>
          <w:sz w:val="32"/>
          <w:szCs w:val="32"/>
        </w:rPr>
        <w:t>号</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的规定，绩效评价结果采取评分和评级相结合的方式，具体分值和等级可根据不同评价内容设定。总分设置为</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分，等级划分为四档：</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（含）</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分为“优”、</w:t>
      </w:r>
      <w:r>
        <w:rPr>
          <w:rStyle w:val="18"/>
          <w:rFonts w:ascii="楷体" w:hAnsi="楷体" w:eastAsia="楷体"/>
          <w:b w:val="0"/>
          <w:bCs w:val="0"/>
          <w:spacing w:val="-4"/>
          <w:sz w:val="32"/>
          <w:szCs w:val="32"/>
        </w:rPr>
        <w:t>80</w:t>
      </w:r>
      <w:r>
        <w:rPr>
          <w:rStyle w:val="18"/>
          <w:rFonts w:hint="eastAsia" w:ascii="楷体" w:hAnsi="楷体" w:eastAsia="楷体"/>
          <w:b w:val="0"/>
          <w:bCs w:val="0"/>
          <w:spacing w:val="-4"/>
          <w:sz w:val="32"/>
          <w:szCs w:val="32"/>
        </w:rPr>
        <w:t>（含）</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分为“良”、</w:t>
      </w:r>
      <w:r>
        <w:rPr>
          <w:rStyle w:val="18"/>
          <w:rFonts w:ascii="楷体" w:hAnsi="楷体" w:eastAsia="楷体"/>
          <w:b w:val="0"/>
          <w:bCs w:val="0"/>
          <w:spacing w:val="-4"/>
          <w:sz w:val="32"/>
          <w:szCs w:val="32"/>
        </w:rPr>
        <w:t>60</w:t>
      </w:r>
      <w:r>
        <w:rPr>
          <w:rStyle w:val="18"/>
          <w:rFonts w:hint="eastAsia" w:ascii="楷体" w:hAnsi="楷体" w:eastAsia="楷体"/>
          <w:b w:val="0"/>
          <w:bCs w:val="0"/>
          <w:spacing w:val="-4"/>
          <w:sz w:val="32"/>
          <w:szCs w:val="32"/>
        </w:rPr>
        <w:t>（含）</w:t>
      </w:r>
      <w:r>
        <w:rPr>
          <w:rStyle w:val="18"/>
          <w:rFonts w:ascii="楷体" w:hAnsi="楷体" w:eastAsia="楷体"/>
          <w:b w:val="0"/>
          <w:bCs w:val="0"/>
          <w:spacing w:val="-4"/>
          <w:sz w:val="32"/>
          <w:szCs w:val="32"/>
        </w:rPr>
        <w:t>-80</w:t>
      </w:r>
      <w:r>
        <w:rPr>
          <w:rStyle w:val="18"/>
          <w:rFonts w:hint="eastAsia" w:ascii="楷体" w:hAnsi="楷体" w:eastAsia="楷体"/>
          <w:b w:val="0"/>
          <w:bCs w:val="0"/>
          <w:spacing w:val="-4"/>
          <w:sz w:val="32"/>
          <w:szCs w:val="32"/>
        </w:rPr>
        <w:t>分为“中”、</w:t>
      </w:r>
      <w:r>
        <w:rPr>
          <w:rStyle w:val="18"/>
          <w:rFonts w:ascii="楷体" w:hAnsi="楷体" w:eastAsia="楷体"/>
          <w:b w:val="0"/>
          <w:bCs w:val="0"/>
          <w:spacing w:val="-4"/>
          <w:sz w:val="32"/>
          <w:szCs w:val="32"/>
        </w:rPr>
        <w:t>60</w:t>
      </w:r>
      <w:r>
        <w:rPr>
          <w:rStyle w:val="18"/>
          <w:rFonts w:hint="eastAsia" w:ascii="楷体" w:hAnsi="楷体" w:eastAsia="楷体"/>
          <w:b w:val="0"/>
          <w:bCs w:val="0"/>
          <w:spacing w:val="-4"/>
          <w:sz w:val="32"/>
          <w:szCs w:val="32"/>
        </w:rPr>
        <w:t>分以下为“差”。</w:t>
      </w:r>
    </w:p>
    <w:p w14:paraId="6F9BE1C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74F521E">
      <w:pPr>
        <w:spacing w:line="540" w:lineRule="exact"/>
        <w:ind w:firstLine="567"/>
        <w:rPr>
          <w:rStyle w:val="18"/>
          <w:rFonts w:ascii="楷体" w:hAnsi="楷体" w:eastAsia="楷体"/>
          <w:b w:val="0"/>
          <w:bCs w:val="0"/>
          <w:spacing w:val="-4"/>
          <w:sz w:val="32"/>
          <w:szCs w:val="32"/>
        </w:rPr>
      </w:pP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前期准备</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1.1 2024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20</w:t>
      </w:r>
      <w:r>
        <w:rPr>
          <w:rStyle w:val="18"/>
          <w:rFonts w:hint="eastAsia" w:ascii="楷体" w:hAnsi="楷体" w:eastAsia="楷体"/>
          <w:b w:val="0"/>
          <w:bCs w:val="0"/>
          <w:spacing w:val="-4"/>
          <w:sz w:val="32"/>
          <w:szCs w:val="32"/>
        </w:rPr>
        <w:t>日，我单位在收到自评工作任务后及时组织了绩效评价工作小组，其中张金林为组长，主要负责工作安排，哈力木别克为副组长，主要负责报告的审核、指导，防疫科组员负责资料、数据整理，编制报告。小组制定了项目评价的工作思路及工作安排，参考学习了相关政策制度、实施方案和相关的工作文件，为评价工作的开展提供工作指引。</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1.2</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20</w:t>
      </w:r>
      <w:r>
        <w:rPr>
          <w:rStyle w:val="18"/>
          <w:rFonts w:hint="eastAsia" w:ascii="楷体" w:hAnsi="楷体" w:eastAsia="楷体"/>
          <w:b w:val="0"/>
          <w:bCs w:val="0"/>
          <w:spacing w:val="-4"/>
          <w:sz w:val="32"/>
          <w:szCs w:val="32"/>
        </w:rPr>
        <w:t>日，评价组通过前期调研确定绩效评价对象和范围，确定了评价的目的、方法以及评价的原则；</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1.3</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 xml:space="preserve"> 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10</w:t>
      </w:r>
      <w:r>
        <w:rPr>
          <w:rStyle w:val="18"/>
          <w:rFonts w:hint="eastAsia" w:ascii="楷体" w:hAnsi="楷体" w:eastAsia="楷体"/>
          <w:b w:val="0"/>
          <w:bCs w:val="0"/>
          <w:spacing w:val="-4"/>
          <w:sz w:val="32"/>
          <w:szCs w:val="32"/>
        </w:rPr>
        <w:t>日，根据项目的实施内容和特征制定了评价指标体系及评价标准以及评价实施方案，修正并确定所需资料清单，最终确定绩效评价工作方案；</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组织实施</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10</w:t>
      </w:r>
      <w:r>
        <w:rPr>
          <w:rStyle w:val="18"/>
          <w:rFonts w:hint="eastAsia" w:ascii="楷体" w:hAnsi="楷体" w:eastAsia="楷体"/>
          <w:b w:val="0"/>
          <w:bCs w:val="0"/>
          <w:spacing w:val="-4"/>
          <w:sz w:val="32"/>
          <w:szCs w:val="32"/>
        </w:rPr>
        <w:t>日</w:t>
      </w:r>
      <w:r>
        <w:rPr>
          <w:rStyle w:val="18"/>
          <w:rFonts w:ascii="楷体" w:hAnsi="楷体" w:eastAsia="楷体"/>
          <w:b w:val="0"/>
          <w:bCs w:val="0"/>
          <w:spacing w:val="-4"/>
          <w:sz w:val="32"/>
          <w:szCs w:val="32"/>
        </w:rPr>
        <w:t>- 4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20</w:t>
      </w:r>
      <w:r>
        <w:rPr>
          <w:rStyle w:val="18"/>
          <w:rFonts w:hint="eastAsia" w:ascii="楷体" w:hAnsi="楷体" w:eastAsia="楷体"/>
          <w:b w:val="0"/>
          <w:bCs w:val="0"/>
          <w:spacing w:val="-4"/>
          <w:sz w:val="32"/>
          <w:szCs w:val="32"/>
        </w:rPr>
        <w:t>日，评价工作进入实施阶段：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2.1  </w:t>
      </w:r>
      <w:r>
        <w:rPr>
          <w:rStyle w:val="18"/>
          <w:rFonts w:hint="eastAsia" w:ascii="楷体" w:hAnsi="楷体" w:eastAsia="楷体"/>
          <w:b w:val="0"/>
          <w:bCs w:val="0"/>
          <w:spacing w:val="-4"/>
          <w:sz w:val="32"/>
          <w:szCs w:val="32"/>
        </w:rPr>
        <w:t>评价组收集绩效评价相关数据资料，进行现场调研、座谈；</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2.2  </w:t>
      </w:r>
      <w:r>
        <w:rPr>
          <w:rStyle w:val="18"/>
          <w:rFonts w:hint="eastAsia" w:ascii="楷体" w:hAnsi="楷体" w:eastAsia="楷体"/>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分析评价：</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2024</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24</w:t>
      </w:r>
      <w:r>
        <w:rPr>
          <w:rStyle w:val="18"/>
          <w:rFonts w:hint="eastAsia" w:ascii="楷体" w:hAnsi="楷体" w:eastAsia="楷体"/>
          <w:b w:val="0"/>
          <w:bCs w:val="0"/>
          <w:spacing w:val="-4"/>
          <w:sz w:val="32"/>
          <w:szCs w:val="32"/>
        </w:rPr>
        <w:t>日</w:t>
      </w:r>
      <w:r>
        <w:rPr>
          <w:rStyle w:val="18"/>
          <w:rFonts w:ascii="楷体" w:hAnsi="楷体" w:eastAsia="楷体"/>
          <w:b w:val="0"/>
          <w:bCs w:val="0"/>
          <w:spacing w:val="-4"/>
          <w:sz w:val="32"/>
          <w:szCs w:val="32"/>
        </w:rPr>
        <w:t>- 4</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28</w:t>
      </w:r>
      <w:r>
        <w:rPr>
          <w:rStyle w:val="18"/>
          <w:rFonts w:hint="eastAsia" w:ascii="楷体" w:hAnsi="楷体" w:eastAsia="楷体"/>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撰写报告</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资料归档</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14:paraId="14B679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70063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动物疾病预防控制中心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w:t>
      </w:r>
      <w:r>
        <w:rPr>
          <w:rStyle w:val="18"/>
          <w:rFonts w:ascii="楷体" w:hAnsi="楷体" w:eastAsia="楷体"/>
          <w:b w:val="0"/>
          <w:bCs w:val="0"/>
          <w:spacing w:val="-4"/>
          <w:sz w:val="32"/>
          <w:szCs w:val="32"/>
        </w:rPr>
        <w:t>95</w:t>
      </w:r>
      <w:r>
        <w:rPr>
          <w:rStyle w:val="18"/>
          <w:rFonts w:hint="eastAsia" w:ascii="楷体" w:hAnsi="楷体" w:eastAsia="楷体"/>
          <w:b w:val="0"/>
          <w:bCs w:val="0"/>
          <w:spacing w:val="-4"/>
          <w:sz w:val="32"/>
          <w:szCs w:val="32"/>
        </w:rPr>
        <w:t>分。</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15</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15</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50</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20</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100</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15</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15</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45</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20</w:t>
      </w:r>
      <w:r>
        <w:rPr>
          <w:rStyle w:val="18"/>
          <w:rFonts w:ascii="楷体" w:hAnsi="楷体" w:eastAsia="楷体"/>
          <w:b w:val="0"/>
          <w:bCs w:val="0"/>
          <w:spacing w:val="-4"/>
          <w:sz w:val="32"/>
          <w:szCs w:val="32"/>
        </w:rPr>
        <w:tab/>
      </w:r>
      <w:r>
        <w:rPr>
          <w:rStyle w:val="18"/>
          <w:rFonts w:ascii="楷体" w:hAnsi="楷体" w:eastAsia="楷体"/>
          <w:b w:val="0"/>
          <w:bCs w:val="0"/>
          <w:spacing w:val="-4"/>
          <w:sz w:val="32"/>
          <w:szCs w:val="32"/>
        </w:rPr>
        <w:t>95</w:t>
      </w:r>
    </w:p>
    <w:p w14:paraId="7C200D3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ascii="黑体" w:hAnsi="黑体" w:eastAsia="黑体"/>
        </w:rPr>
        <w:t xml:space="preserve"> </w:t>
      </w:r>
    </w:p>
    <w:p w14:paraId="3B6E5A7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54C35D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坚持专款、专账、专人管理的原则，严格按照上级文件要求进行列支，做到了严格管理，按制度、按程序拨付使用项目建设资金，不存在资金截留、挪用等现象，确保了</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年我县畜牧业生产发展资金的顺利实施。</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立项依据充分性</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项目立项依据《昌州财农〔</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61</w:t>
      </w:r>
      <w:r>
        <w:rPr>
          <w:rStyle w:val="18"/>
          <w:rFonts w:hint="eastAsia" w:ascii="楷体" w:hAnsi="楷体" w:eastAsia="楷体"/>
          <w:b w:val="0"/>
          <w:bCs w:val="0"/>
          <w:spacing w:val="-4"/>
          <w:sz w:val="32"/>
          <w:szCs w:val="32"/>
        </w:rPr>
        <w:t>号文件批复，下达《关于提前下达</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年中央动物防疫等补助经费预算的通知》。</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立项程序规范性</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审批文件、材料：本项目审批文件有：《木财字（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24</w:t>
      </w:r>
      <w:r>
        <w:rPr>
          <w:rStyle w:val="18"/>
          <w:rFonts w:hint="eastAsia" w:ascii="楷体" w:hAnsi="楷体" w:eastAsia="楷体"/>
          <w:b w:val="0"/>
          <w:bCs w:val="0"/>
          <w:spacing w:val="-4"/>
          <w:sz w:val="32"/>
          <w:szCs w:val="32"/>
        </w:rPr>
        <w:t>号》审批文件及材料齐全；</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绩效目标合理性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年中央动物防疫等补助经费项目设立了项目绩效目标，与重大动物防疫工作具有相关性，项目的预期产出效益和效果也均能符合正常的业绩水平，并且与预算确定的项目投资额或资金量相匹配。</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绩效指标明确性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年中央动物防疫等补助经费项目将项目绩效目标细化分解为具体的绩效指标，一级指标共</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条，二级指标共</w:t>
      </w:r>
      <w:r>
        <w:rPr>
          <w:rStyle w:val="18"/>
          <w:rFonts w:ascii="楷体" w:hAnsi="楷体" w:eastAsia="楷体"/>
          <w:b w:val="0"/>
          <w:bCs w:val="0"/>
          <w:spacing w:val="-4"/>
          <w:sz w:val="32"/>
          <w:szCs w:val="32"/>
        </w:rPr>
        <w:t>7</w:t>
      </w:r>
      <w:r>
        <w:rPr>
          <w:rStyle w:val="18"/>
          <w:rFonts w:hint="eastAsia" w:ascii="楷体" w:hAnsi="楷体" w:eastAsia="楷体"/>
          <w:b w:val="0"/>
          <w:bCs w:val="0"/>
          <w:spacing w:val="-4"/>
          <w:sz w:val="32"/>
          <w:szCs w:val="32"/>
        </w:rPr>
        <w:t>条，三级指标共</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条，其中量化指标条数共</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条，所有绩效指标均通过清晰、可衡量的指标值予以体现，并且做到了与项目目标任务数或计划数相对应。</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预算编制科学性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本项目建设内容及工程量严格按照《建设工程工程量清单计价规范》（</w:t>
      </w:r>
      <w:r>
        <w:rPr>
          <w:rStyle w:val="18"/>
          <w:rFonts w:ascii="楷体" w:hAnsi="楷体" w:eastAsia="楷体"/>
          <w:b w:val="0"/>
          <w:bCs w:val="0"/>
          <w:spacing w:val="-4"/>
          <w:sz w:val="32"/>
          <w:szCs w:val="32"/>
        </w:rPr>
        <w:t>GB50500-2013</w:t>
      </w:r>
      <w:r>
        <w:rPr>
          <w:rStyle w:val="18"/>
          <w:rFonts w:hint="eastAsia" w:ascii="楷体" w:hAnsi="楷体" w:eastAsia="楷体"/>
          <w:b w:val="0"/>
          <w:bCs w:val="0"/>
          <w:spacing w:val="-4"/>
          <w:sz w:val="32"/>
          <w:szCs w:val="32"/>
        </w:rPr>
        <w:t>）规定计算，项目预算编制根据项目建设内容进行计算，预算数经过财政会议及专家论证确定，预算内容与项目内容无偏差，预算额度测算依据充分，项目投资额与工作任务匹配性</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，不存在偏差性。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6.</w:t>
      </w:r>
      <w:r>
        <w:rPr>
          <w:rStyle w:val="18"/>
          <w:rFonts w:hint="eastAsia" w:ascii="楷体" w:hAnsi="楷体" w:eastAsia="楷体"/>
          <w:b w:val="0"/>
          <w:bCs w:val="0"/>
          <w:spacing w:val="-4"/>
          <w:sz w:val="32"/>
          <w:szCs w:val="32"/>
        </w:rPr>
        <w:t>资金分配合理性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本项目预算资金分配依据《木垒县</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年预算批复》（木财字（</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24</w:t>
      </w:r>
      <w:r>
        <w:rPr>
          <w:rStyle w:val="18"/>
          <w:rFonts w:hint="eastAsia" w:ascii="楷体" w:hAnsi="楷体" w:eastAsia="楷体"/>
          <w:b w:val="0"/>
          <w:bCs w:val="0"/>
          <w:spacing w:val="-4"/>
          <w:sz w:val="32"/>
          <w:szCs w:val="32"/>
        </w:rPr>
        <w:t>号），项目资金分配额度无偏低或偏高情况，分配额度合理。项目单位为木垒县动物疾病预防控制中心单位位于木垒县，资金分配与单位实际相适应。</w:t>
      </w:r>
      <w:r>
        <w:rPr>
          <w:rStyle w:val="18"/>
          <w:rFonts w:ascii="楷体" w:hAnsi="楷体" w:eastAsia="楷体"/>
          <w:b w:val="0"/>
          <w:bCs w:val="0"/>
          <w:spacing w:val="-4"/>
          <w:sz w:val="32"/>
          <w:szCs w:val="32"/>
        </w:rPr>
        <w:tab/>
      </w:r>
    </w:p>
    <w:p w14:paraId="7D652CD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0B85A22">
      <w:pPr>
        <w:spacing w:line="540" w:lineRule="exact"/>
        <w:ind w:firstLine="567"/>
        <w:rPr>
          <w:rStyle w:val="18"/>
          <w:rFonts w:ascii="楷体" w:hAnsi="楷体" w:eastAsia="楷体"/>
          <w:b w:val="0"/>
          <w:bCs w:val="0"/>
          <w:spacing w:val="-4"/>
          <w:sz w:val="32"/>
          <w:szCs w:val="32"/>
        </w:rPr>
      </w:pP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资金到位率：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万元，预算资金</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万元，资金到位率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预算执行率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万元，全年预算数</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万元，全年执行数</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万元，预算执行率为</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资金使用合规性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3.1 </w:t>
      </w:r>
      <w:r>
        <w:rPr>
          <w:rStyle w:val="18"/>
          <w:rFonts w:hint="eastAsia" w:ascii="楷体" w:hAnsi="楷体" w:eastAsia="楷体"/>
          <w:b w:val="0"/>
          <w:bCs w:val="0"/>
          <w:spacing w:val="-4"/>
          <w:sz w:val="32"/>
          <w:szCs w:val="32"/>
        </w:rPr>
        <w:t>资金使用符合、财务管理制度以及有关专项资金管理办法的规定；</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3.2 </w:t>
      </w:r>
      <w:r>
        <w:rPr>
          <w:rStyle w:val="18"/>
          <w:rFonts w:hint="eastAsia" w:ascii="楷体" w:hAnsi="楷体" w:eastAsia="楷体"/>
          <w:b w:val="0"/>
          <w:bCs w:val="0"/>
          <w:spacing w:val="-4"/>
          <w:sz w:val="32"/>
          <w:szCs w:val="32"/>
        </w:rPr>
        <w:t>资金的拨付严格按照木垒县财政局单位资金拨付审批程序进行：由防疫科室提交拨付申请到农业农村领导，经审批后提交到财政局。项目资金拨付手续齐全，资金拨付手续有：支付方案、申请单。</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3.3 </w:t>
      </w:r>
      <w:r>
        <w:rPr>
          <w:rStyle w:val="18"/>
          <w:rFonts w:hint="eastAsia" w:ascii="楷体" w:hAnsi="楷体" w:eastAsia="楷体"/>
          <w:b w:val="0"/>
          <w:bCs w:val="0"/>
          <w:spacing w:val="-4"/>
          <w:sz w:val="32"/>
          <w:szCs w:val="32"/>
        </w:rPr>
        <w:t>本项目资金合同规定的用途为：村级防疫员补助、采购防护物资、购买村级防疫员保险。符合项目预算批复及合同规定的用途；</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3.4 </w:t>
      </w:r>
      <w:r>
        <w:rPr>
          <w:rStyle w:val="18"/>
          <w:rFonts w:hint="eastAsia" w:ascii="楷体" w:hAnsi="楷体" w:eastAsia="楷体"/>
          <w:b w:val="0"/>
          <w:bCs w:val="0"/>
          <w:spacing w:val="-4"/>
          <w:sz w:val="32"/>
          <w:szCs w:val="32"/>
        </w:rPr>
        <w:t>项目资金截至</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26</w:t>
      </w:r>
      <w:r>
        <w:rPr>
          <w:rStyle w:val="18"/>
          <w:rFonts w:hint="eastAsia" w:ascii="楷体" w:hAnsi="楷体" w:eastAsia="楷体"/>
          <w:b w:val="0"/>
          <w:bCs w:val="0"/>
          <w:spacing w:val="-4"/>
          <w:sz w:val="32"/>
          <w:szCs w:val="32"/>
        </w:rPr>
        <w:t>日已拨付至</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，过程不存在截留、挤占、挪用、虚列支出等情况。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管理制度健全性</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通过努力做好财政预算收入、支出以及各项目的管理工作，对预算的资金进行全方位的监督和管理，使每一笔资金都能起到最大的使用效益。结合我校实际情合理分配资金，以达到合理高效地运用资金。</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制度执行有效性</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5.1 </w:t>
      </w:r>
      <w:r>
        <w:rPr>
          <w:rStyle w:val="18"/>
          <w:rFonts w:hint="eastAsia" w:ascii="楷体" w:hAnsi="楷体" w:eastAsia="楷体"/>
          <w:b w:val="0"/>
          <w:bCs w:val="0"/>
          <w:spacing w:val="-4"/>
          <w:sz w:val="32"/>
          <w:szCs w:val="32"/>
        </w:rPr>
        <w:t>项目的审批验收过程均遵守相关法律法规和相关管理规定；</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5.2 </w:t>
      </w:r>
      <w:r>
        <w:rPr>
          <w:rStyle w:val="18"/>
          <w:rFonts w:hint="eastAsia" w:ascii="楷体" w:hAnsi="楷体" w:eastAsia="楷体"/>
          <w:b w:val="0"/>
          <w:bCs w:val="0"/>
          <w:spacing w:val="-4"/>
          <w:sz w:val="32"/>
          <w:szCs w:val="32"/>
        </w:rPr>
        <w:t>本项目无调整情况；</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5.3 </w:t>
      </w:r>
      <w:r>
        <w:rPr>
          <w:rStyle w:val="18"/>
          <w:rFonts w:hint="eastAsia" w:ascii="楷体" w:hAnsi="楷体" w:eastAsia="楷体"/>
          <w:b w:val="0"/>
          <w:bCs w:val="0"/>
          <w:spacing w:val="-4"/>
          <w:sz w:val="32"/>
          <w:szCs w:val="32"/>
        </w:rPr>
        <w:t>项目合同书、验收报告、技术鉴定等资料齐全并已及时归档，档案编号：</w:t>
      </w:r>
      <w:r>
        <w:rPr>
          <w:rStyle w:val="18"/>
          <w:rFonts w:ascii="楷体" w:hAnsi="楷体" w:eastAsia="楷体"/>
          <w:b w:val="0"/>
          <w:bCs w:val="0"/>
          <w:spacing w:val="-4"/>
          <w:sz w:val="32"/>
          <w:szCs w:val="32"/>
        </w:rPr>
        <w:t>2023001</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5.4 </w:t>
      </w:r>
      <w:r>
        <w:rPr>
          <w:rStyle w:val="18"/>
          <w:rFonts w:hint="eastAsia" w:ascii="楷体" w:hAnsi="楷体" w:eastAsia="楷体"/>
          <w:b w:val="0"/>
          <w:bCs w:val="0"/>
          <w:spacing w:val="-4"/>
          <w:sz w:val="32"/>
          <w:szCs w:val="32"/>
        </w:rPr>
        <w:t>项目实施的信息支撑等均已落实到位。</w:t>
      </w:r>
    </w:p>
    <w:p w14:paraId="323941F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EC442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年中央动物防疫等补助项目截止到</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31</w:t>
      </w:r>
      <w:r>
        <w:rPr>
          <w:rStyle w:val="18"/>
          <w:rFonts w:hint="eastAsia" w:ascii="楷体" w:hAnsi="楷体" w:eastAsia="楷体"/>
          <w:b w:val="0"/>
          <w:bCs w:val="0"/>
          <w:spacing w:val="-4"/>
          <w:sz w:val="32"/>
          <w:szCs w:val="32"/>
        </w:rPr>
        <w:t>日，已完成本项目如下工作：养殖环节病死猪无害化处理补助头数≥</w:t>
      </w:r>
      <w:r>
        <w:rPr>
          <w:rStyle w:val="18"/>
          <w:rFonts w:ascii="楷体" w:hAnsi="楷体" w:eastAsia="楷体"/>
          <w:b w:val="0"/>
          <w:bCs w:val="0"/>
          <w:spacing w:val="-4"/>
          <w:sz w:val="32"/>
          <w:szCs w:val="32"/>
        </w:rPr>
        <w:t>847</w:t>
      </w:r>
      <w:r>
        <w:rPr>
          <w:rStyle w:val="18"/>
          <w:rFonts w:hint="eastAsia" w:ascii="楷体" w:hAnsi="楷体" w:eastAsia="楷体"/>
          <w:b w:val="0"/>
          <w:bCs w:val="0"/>
          <w:spacing w:val="-4"/>
          <w:sz w:val="32"/>
          <w:szCs w:val="32"/>
        </w:rPr>
        <w:t>头，完成包虫病犬的驱虫数量大于</w:t>
      </w:r>
      <w:r>
        <w:rPr>
          <w:rStyle w:val="18"/>
          <w:rFonts w:ascii="楷体" w:hAnsi="楷体" w:eastAsia="楷体"/>
          <w:b w:val="0"/>
          <w:bCs w:val="0"/>
          <w:spacing w:val="-4"/>
          <w:sz w:val="32"/>
          <w:szCs w:val="32"/>
        </w:rPr>
        <w:t>0.92</w:t>
      </w:r>
      <w:r>
        <w:rPr>
          <w:rStyle w:val="18"/>
          <w:rFonts w:hint="eastAsia" w:ascii="楷体" w:hAnsi="楷体" w:eastAsia="楷体"/>
          <w:b w:val="0"/>
          <w:bCs w:val="0"/>
          <w:spacing w:val="-4"/>
          <w:sz w:val="32"/>
          <w:szCs w:val="32"/>
        </w:rPr>
        <w:t>万只，村级防疫员人数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人。补助经费发放率均达到</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：已完成发放村级防疫员补助</w:t>
      </w:r>
      <w:r>
        <w:rPr>
          <w:rStyle w:val="18"/>
          <w:rFonts w:ascii="楷体" w:hAnsi="楷体" w:eastAsia="楷体"/>
          <w:b w:val="0"/>
          <w:bCs w:val="0"/>
          <w:spacing w:val="-4"/>
          <w:sz w:val="32"/>
          <w:szCs w:val="32"/>
        </w:rPr>
        <w:t>96.3</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：完成购买人畜共患病保险</w:t>
      </w:r>
      <w:r>
        <w:rPr>
          <w:rStyle w:val="18"/>
          <w:rFonts w:ascii="楷体" w:hAnsi="楷体" w:eastAsia="楷体"/>
          <w:b w:val="0"/>
          <w:bCs w:val="0"/>
          <w:spacing w:val="-4"/>
          <w:sz w:val="32"/>
          <w:szCs w:val="32"/>
        </w:rPr>
        <w:t>2.25</w:t>
      </w:r>
      <w:r>
        <w:rPr>
          <w:rStyle w:val="18"/>
          <w:rFonts w:hint="eastAsia" w:ascii="楷体" w:hAnsi="楷体" w:eastAsia="楷体"/>
          <w:b w:val="0"/>
          <w:bCs w:val="0"/>
          <w:spacing w:val="-4"/>
          <w:sz w:val="32"/>
          <w:szCs w:val="32"/>
        </w:rPr>
        <w:t>万元，购买人身意外伤害保险</w:t>
      </w:r>
      <w:r>
        <w:rPr>
          <w:rStyle w:val="18"/>
          <w:rFonts w:ascii="楷体" w:hAnsi="楷体" w:eastAsia="楷体"/>
          <w:b w:val="0"/>
          <w:bCs w:val="0"/>
          <w:spacing w:val="-4"/>
          <w:sz w:val="32"/>
          <w:szCs w:val="32"/>
        </w:rPr>
        <w:t>0.75</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：完成发放养殖环节无害化处理补助</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万元；</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目标</w:t>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：全年强制免疫密度达到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，免疫抗体合格率达到</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以上。</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项目完成数量</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：养殖环节病死猪无害化处理补助头数，指标值：≥</w:t>
      </w:r>
      <w:r>
        <w:rPr>
          <w:rStyle w:val="18"/>
          <w:rFonts w:ascii="楷体" w:hAnsi="楷体" w:eastAsia="楷体"/>
          <w:b w:val="0"/>
          <w:bCs w:val="0"/>
          <w:spacing w:val="-4"/>
          <w:sz w:val="32"/>
          <w:szCs w:val="32"/>
        </w:rPr>
        <w:t>847</w:t>
      </w:r>
      <w:r>
        <w:rPr>
          <w:rStyle w:val="18"/>
          <w:rFonts w:hint="eastAsia" w:ascii="楷体" w:hAnsi="楷体" w:eastAsia="楷体"/>
          <w:b w:val="0"/>
          <w:bCs w:val="0"/>
          <w:spacing w:val="-4"/>
          <w:sz w:val="32"/>
          <w:szCs w:val="32"/>
        </w:rPr>
        <w:t>头，实际完成值</w:t>
      </w:r>
      <w:r>
        <w:rPr>
          <w:rStyle w:val="18"/>
          <w:rFonts w:ascii="楷体" w:hAnsi="楷体" w:eastAsia="楷体"/>
          <w:b w:val="0"/>
          <w:bCs w:val="0"/>
          <w:spacing w:val="-4"/>
          <w:sz w:val="32"/>
          <w:szCs w:val="32"/>
        </w:rPr>
        <w:t>1043</w:t>
      </w:r>
      <w:r>
        <w:rPr>
          <w:rStyle w:val="18"/>
          <w:rFonts w:hint="eastAsia" w:ascii="楷体" w:hAnsi="楷体" w:eastAsia="楷体"/>
          <w:b w:val="0"/>
          <w:bCs w:val="0"/>
          <w:spacing w:val="-4"/>
          <w:sz w:val="32"/>
          <w:szCs w:val="32"/>
        </w:rPr>
        <w:t>头，指标完成率</w:t>
      </w:r>
      <w:r>
        <w:rPr>
          <w:rStyle w:val="18"/>
          <w:rFonts w:ascii="楷体" w:hAnsi="楷体" w:eastAsia="楷体"/>
          <w:b w:val="0"/>
          <w:bCs w:val="0"/>
          <w:spacing w:val="-4"/>
          <w:sz w:val="32"/>
          <w:szCs w:val="32"/>
        </w:rPr>
        <w:t>123%</w:t>
      </w:r>
      <w:r>
        <w:rPr>
          <w:rStyle w:val="18"/>
          <w:rFonts w:hint="eastAsia" w:ascii="楷体" w:hAnsi="楷体" w:eastAsia="楷体"/>
          <w:b w:val="0"/>
          <w:bCs w:val="0"/>
          <w:spacing w:val="-4"/>
          <w:sz w:val="32"/>
          <w:szCs w:val="32"/>
        </w:rPr>
        <w:t>，偏差原因本年兑现</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年度养殖环节病死猪无害化处理补助并</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年度上级未下指标；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：完成包虫病犬的驱虫数量，指标值：≥</w:t>
      </w:r>
      <w:r>
        <w:rPr>
          <w:rStyle w:val="18"/>
          <w:rFonts w:ascii="楷体" w:hAnsi="楷体" w:eastAsia="楷体"/>
          <w:b w:val="0"/>
          <w:bCs w:val="0"/>
          <w:spacing w:val="-4"/>
          <w:sz w:val="32"/>
          <w:szCs w:val="32"/>
        </w:rPr>
        <w:t>0.92</w:t>
      </w:r>
      <w:r>
        <w:rPr>
          <w:rStyle w:val="18"/>
          <w:rFonts w:hint="eastAsia" w:ascii="楷体" w:hAnsi="楷体" w:eastAsia="楷体"/>
          <w:b w:val="0"/>
          <w:bCs w:val="0"/>
          <w:spacing w:val="-4"/>
          <w:sz w:val="32"/>
          <w:szCs w:val="32"/>
        </w:rPr>
        <w:t>万只，实际完成值</w:t>
      </w:r>
      <w:r>
        <w:rPr>
          <w:rStyle w:val="18"/>
          <w:rFonts w:ascii="楷体" w:hAnsi="楷体" w:eastAsia="楷体"/>
          <w:b w:val="0"/>
          <w:bCs w:val="0"/>
          <w:spacing w:val="-4"/>
          <w:sz w:val="32"/>
          <w:szCs w:val="32"/>
        </w:rPr>
        <w:t>0.94</w:t>
      </w:r>
      <w:r>
        <w:rPr>
          <w:rStyle w:val="18"/>
          <w:rFonts w:hint="eastAsia" w:ascii="楷体" w:hAnsi="楷体" w:eastAsia="楷体"/>
          <w:b w:val="0"/>
          <w:bCs w:val="0"/>
          <w:spacing w:val="-4"/>
          <w:sz w:val="32"/>
          <w:szCs w:val="32"/>
        </w:rPr>
        <w:t>万只，指标完成率</w:t>
      </w:r>
      <w:r>
        <w:rPr>
          <w:rStyle w:val="18"/>
          <w:rFonts w:ascii="楷体" w:hAnsi="楷体" w:eastAsia="楷体"/>
          <w:b w:val="0"/>
          <w:bCs w:val="0"/>
          <w:spacing w:val="-4"/>
          <w:sz w:val="32"/>
          <w:szCs w:val="32"/>
        </w:rPr>
        <w:t>102.17%</w:t>
      </w:r>
      <w:r>
        <w:rPr>
          <w:rStyle w:val="18"/>
          <w:rFonts w:hint="eastAsia" w:ascii="楷体" w:hAnsi="楷体" w:eastAsia="楷体"/>
          <w:b w:val="0"/>
          <w:bCs w:val="0"/>
          <w:spacing w:val="-4"/>
          <w:sz w:val="32"/>
          <w:szCs w:val="32"/>
        </w:rPr>
        <w:t>，偏差原因由于防疫需求增大，估数量有所增加。</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：村级防疫员人数，指标值：</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人，实际完成值</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人，指标完成率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，无偏差。</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项目完成质量：</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：除布病外其他强制免疫的平均免疫抗体合格率，指标值：≥</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 xml:space="preserve">70% </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100 %</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项目完成时效</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：财政补助经费使用及时率，指标值：</w:t>
      </w:r>
      <w:r>
        <w:rPr>
          <w:rStyle w:val="18"/>
          <w:rFonts w:ascii="楷体" w:hAnsi="楷体" w:eastAsia="楷体"/>
          <w:b w:val="0"/>
          <w:bCs w:val="0"/>
          <w:spacing w:val="-4"/>
          <w:sz w:val="32"/>
          <w:szCs w:val="32"/>
        </w:rPr>
        <w:t xml:space="preserve">=100%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项目完成成本</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：购买人畜共患病保险成本，指标值：</w:t>
      </w:r>
      <w:r>
        <w:rPr>
          <w:rStyle w:val="18"/>
          <w:rFonts w:ascii="楷体" w:hAnsi="楷体" w:eastAsia="楷体"/>
          <w:b w:val="0"/>
          <w:bCs w:val="0"/>
          <w:spacing w:val="-4"/>
          <w:sz w:val="32"/>
          <w:szCs w:val="32"/>
        </w:rPr>
        <w:t>=2.25</w:t>
      </w:r>
      <w:r>
        <w:rPr>
          <w:rStyle w:val="18"/>
          <w:rFonts w:hint="eastAsia" w:ascii="楷体" w:hAnsi="楷体" w:eastAsia="楷体"/>
          <w:b w:val="0"/>
          <w:bCs w:val="0"/>
          <w:spacing w:val="-4"/>
          <w:sz w:val="32"/>
          <w:szCs w:val="32"/>
        </w:rPr>
        <w:t>万元，实际完成值</w:t>
      </w:r>
      <w:r>
        <w:rPr>
          <w:rStyle w:val="18"/>
          <w:rFonts w:ascii="楷体" w:hAnsi="楷体" w:eastAsia="楷体"/>
          <w:b w:val="0"/>
          <w:bCs w:val="0"/>
          <w:spacing w:val="-4"/>
          <w:sz w:val="32"/>
          <w:szCs w:val="32"/>
        </w:rPr>
        <w:t>=2.25</w:t>
      </w:r>
      <w:r>
        <w:rPr>
          <w:rStyle w:val="18"/>
          <w:rFonts w:hint="eastAsia" w:ascii="楷体" w:hAnsi="楷体" w:eastAsia="楷体"/>
          <w:b w:val="0"/>
          <w:bCs w:val="0"/>
          <w:spacing w:val="-4"/>
          <w:sz w:val="32"/>
          <w:szCs w:val="32"/>
        </w:rPr>
        <w:t>万元，指标完成率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：购买人身意外伤害保险成本，指标值：</w:t>
      </w:r>
      <w:r>
        <w:rPr>
          <w:rStyle w:val="18"/>
          <w:rFonts w:ascii="楷体" w:hAnsi="楷体" w:eastAsia="楷体"/>
          <w:b w:val="0"/>
          <w:bCs w:val="0"/>
          <w:spacing w:val="-4"/>
          <w:sz w:val="32"/>
          <w:szCs w:val="32"/>
        </w:rPr>
        <w:t>=0.75</w:t>
      </w:r>
      <w:r>
        <w:rPr>
          <w:rStyle w:val="18"/>
          <w:rFonts w:hint="eastAsia" w:ascii="楷体" w:hAnsi="楷体" w:eastAsia="楷体"/>
          <w:b w:val="0"/>
          <w:bCs w:val="0"/>
          <w:spacing w:val="-4"/>
          <w:sz w:val="32"/>
          <w:szCs w:val="32"/>
        </w:rPr>
        <w:t>万元，实际完成值</w:t>
      </w:r>
      <w:r>
        <w:rPr>
          <w:rStyle w:val="18"/>
          <w:rFonts w:ascii="楷体" w:hAnsi="楷体" w:eastAsia="楷体"/>
          <w:b w:val="0"/>
          <w:bCs w:val="0"/>
          <w:spacing w:val="-4"/>
          <w:sz w:val="32"/>
          <w:szCs w:val="32"/>
        </w:rPr>
        <w:t>=0.75</w:t>
      </w:r>
      <w:r>
        <w:rPr>
          <w:rStyle w:val="18"/>
          <w:rFonts w:hint="eastAsia" w:ascii="楷体" w:hAnsi="楷体" w:eastAsia="楷体"/>
          <w:b w:val="0"/>
          <w:bCs w:val="0"/>
          <w:spacing w:val="-4"/>
          <w:sz w:val="32"/>
          <w:szCs w:val="32"/>
        </w:rPr>
        <w:t>万元，指标完成率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：养殖环节无害化处理补助标准（元</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每头），指标值：</w:t>
      </w:r>
      <w:r>
        <w:rPr>
          <w:rStyle w:val="18"/>
          <w:rFonts w:ascii="楷体" w:hAnsi="楷体" w:eastAsia="楷体"/>
          <w:b w:val="0"/>
          <w:bCs w:val="0"/>
          <w:spacing w:val="-4"/>
          <w:sz w:val="32"/>
          <w:szCs w:val="32"/>
        </w:rPr>
        <w:t>= =47</w:t>
      </w:r>
      <w:r>
        <w:rPr>
          <w:rStyle w:val="18"/>
          <w:rFonts w:hint="eastAsia" w:ascii="楷体" w:hAnsi="楷体" w:eastAsia="楷体"/>
          <w:b w:val="0"/>
          <w:bCs w:val="0"/>
          <w:spacing w:val="-4"/>
          <w:sz w:val="32"/>
          <w:szCs w:val="32"/>
        </w:rPr>
        <w:t>（元</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每头），实际完成值</w:t>
      </w:r>
      <w:r>
        <w:rPr>
          <w:rStyle w:val="18"/>
          <w:rFonts w:ascii="楷体" w:hAnsi="楷体" w:eastAsia="楷体"/>
          <w:b w:val="0"/>
          <w:bCs w:val="0"/>
          <w:spacing w:val="-4"/>
          <w:sz w:val="32"/>
          <w:szCs w:val="32"/>
        </w:rPr>
        <w:t>= 38</w:t>
      </w:r>
      <w:r>
        <w:rPr>
          <w:rStyle w:val="18"/>
          <w:rFonts w:hint="eastAsia" w:ascii="楷体" w:hAnsi="楷体" w:eastAsia="楷体"/>
          <w:b w:val="0"/>
          <w:bCs w:val="0"/>
          <w:spacing w:val="-4"/>
          <w:sz w:val="32"/>
          <w:szCs w:val="32"/>
        </w:rPr>
        <w:t>（元</w:t>
      </w:r>
      <w:r>
        <w:rPr>
          <w:rStyle w:val="18"/>
          <w:rFonts w:ascii="楷体" w:hAnsi="楷体" w:eastAsia="楷体"/>
          <w:b w:val="0"/>
          <w:bCs w:val="0"/>
          <w:spacing w:val="-4"/>
          <w:sz w:val="32"/>
          <w:szCs w:val="32"/>
        </w:rPr>
        <w:t>/</w:t>
      </w:r>
      <w:r>
        <w:rPr>
          <w:rStyle w:val="18"/>
          <w:rFonts w:hint="eastAsia" w:ascii="楷体" w:hAnsi="楷体" w:eastAsia="楷体"/>
          <w:b w:val="0"/>
          <w:bCs w:val="0"/>
          <w:spacing w:val="-4"/>
          <w:sz w:val="32"/>
          <w:szCs w:val="32"/>
        </w:rPr>
        <w:t>每头），指标完成率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p>
    <w:p w14:paraId="6FBAC03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63AA9D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年中央动物防疫等补助项目截止到</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31</w:t>
      </w:r>
      <w:r>
        <w:rPr>
          <w:rStyle w:val="18"/>
          <w:rFonts w:hint="eastAsia" w:ascii="楷体" w:hAnsi="楷体" w:eastAsia="楷体"/>
          <w:b w:val="0"/>
          <w:bCs w:val="0"/>
          <w:spacing w:val="-4"/>
          <w:sz w:val="32"/>
          <w:szCs w:val="32"/>
        </w:rPr>
        <w:t>日，已完成全年强制免疫密度达到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，免疫抗体合格率达到</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以上；其中：</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ascii="楷体" w:hAnsi="楷体" w:eastAsia="楷体"/>
          <w:b w:val="0"/>
          <w:bCs w:val="0"/>
          <w:spacing w:val="-4"/>
          <w:sz w:val="32"/>
          <w:szCs w:val="32"/>
        </w:rPr>
        <w:tab/>
      </w:r>
      <w:r>
        <w:rPr>
          <w:rStyle w:val="18"/>
          <w:rFonts w:hint="eastAsia" w:ascii="楷体" w:hAnsi="楷体" w:eastAsia="楷体"/>
          <w:b w:val="0"/>
          <w:bCs w:val="0"/>
          <w:spacing w:val="-4"/>
          <w:sz w:val="32"/>
          <w:szCs w:val="32"/>
        </w:rPr>
        <w:t>项目实施的经济效益分析：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未设置经济效益指标。</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项目实施的社会效益分析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：强制免疫疫病畜禽免疫密度，指标值：≥</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：强制免疫平均抗体合格率，指标值：≥</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项目实施的生态效益分析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：有无大规模随意抛弃病死猪事件，指标值：</w:t>
      </w:r>
      <w:r>
        <w:rPr>
          <w:rStyle w:val="18"/>
          <w:rFonts w:ascii="楷体" w:hAnsi="楷体" w:eastAsia="楷体"/>
          <w:b w:val="0"/>
          <w:bCs w:val="0"/>
          <w:spacing w:val="-4"/>
          <w:sz w:val="32"/>
          <w:szCs w:val="32"/>
        </w:rPr>
        <w:t>0</w:t>
      </w:r>
      <w:r>
        <w:rPr>
          <w:rStyle w:val="18"/>
          <w:rFonts w:hint="eastAsia" w:ascii="楷体" w:hAnsi="楷体" w:eastAsia="楷体"/>
          <w:b w:val="0"/>
          <w:bCs w:val="0"/>
          <w:spacing w:val="-4"/>
          <w:sz w:val="32"/>
          <w:szCs w:val="32"/>
        </w:rPr>
        <w:t>件，实际完成值</w:t>
      </w:r>
      <w:r>
        <w:rPr>
          <w:rStyle w:val="18"/>
          <w:rFonts w:ascii="楷体" w:hAnsi="楷体" w:eastAsia="楷体"/>
          <w:b w:val="0"/>
          <w:bCs w:val="0"/>
          <w:spacing w:val="-4"/>
          <w:sz w:val="32"/>
          <w:szCs w:val="32"/>
        </w:rPr>
        <w:t>0</w:t>
      </w:r>
      <w:r>
        <w:rPr>
          <w:rStyle w:val="18"/>
          <w:rFonts w:hint="eastAsia" w:ascii="楷体" w:hAnsi="楷体" w:eastAsia="楷体"/>
          <w:b w:val="0"/>
          <w:bCs w:val="0"/>
          <w:spacing w:val="-4"/>
          <w:sz w:val="32"/>
          <w:szCs w:val="32"/>
        </w:rPr>
        <w:t>件，指标完成率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4.</w:t>
      </w:r>
      <w:r>
        <w:rPr>
          <w:rStyle w:val="18"/>
          <w:rFonts w:hint="eastAsia" w:ascii="楷体" w:hAnsi="楷体" w:eastAsia="楷体"/>
          <w:b w:val="0"/>
          <w:bCs w:val="0"/>
          <w:spacing w:val="-4"/>
          <w:sz w:val="32"/>
          <w:szCs w:val="32"/>
        </w:rPr>
        <w:t>项目实施的可持续影响分析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未设置可持续影响指标。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：村级防疫员满意度，指标值：≥</w:t>
      </w:r>
      <w:r>
        <w:rPr>
          <w:rStyle w:val="18"/>
          <w:rFonts w:ascii="楷体" w:hAnsi="楷体" w:eastAsia="楷体"/>
          <w:b w:val="0"/>
          <w:bCs w:val="0"/>
          <w:spacing w:val="-4"/>
          <w:sz w:val="32"/>
          <w:szCs w:val="32"/>
        </w:rPr>
        <w:t xml:space="preserve">90% </w:t>
      </w:r>
      <w:r>
        <w:rPr>
          <w:rStyle w:val="18"/>
          <w:rFonts w:hint="eastAsia" w:ascii="楷体" w:hAnsi="楷体" w:eastAsia="楷体"/>
          <w:b w:val="0"/>
          <w:bCs w:val="0"/>
          <w:spacing w:val="-4"/>
          <w:sz w:val="32"/>
          <w:szCs w:val="32"/>
        </w:rPr>
        <w:t>，实际完成值</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，指标完成率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p>
    <w:p w14:paraId="5205031A">
      <w:pPr>
        <w:spacing w:line="540" w:lineRule="exact"/>
        <w:ind w:firstLine="567"/>
        <w:rPr>
          <w:rStyle w:val="18"/>
          <w:rFonts w:ascii="楷体" w:hAnsi="楷体" w:eastAsia="楷体"/>
          <w:spacing w:val="-4"/>
          <w:sz w:val="32"/>
          <w:szCs w:val="32"/>
        </w:rPr>
      </w:pPr>
    </w:p>
    <w:p w14:paraId="4EF7BBE0">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3A71E53E">
      <w:pPr>
        <w:spacing w:line="540" w:lineRule="exact"/>
        <w:ind w:firstLine="567"/>
        <w:rPr>
          <w:rStyle w:val="18"/>
          <w:rFonts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根据重大动物疫病防控相关工作进度，</w:t>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动物疫病预防控制中心于</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5</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20</w:t>
      </w:r>
      <w:r>
        <w:rPr>
          <w:rStyle w:val="18"/>
          <w:rFonts w:hint="eastAsia" w:ascii="楷体" w:hAnsi="楷体" w:eastAsia="楷体"/>
          <w:b w:val="0"/>
          <w:bCs w:val="0"/>
          <w:spacing w:val="-4"/>
          <w:sz w:val="32"/>
          <w:szCs w:val="32"/>
        </w:rPr>
        <w:t>日，已完成汇总</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年度养殖环节病死猪无害化处理补助头数</w:t>
      </w:r>
      <w:r>
        <w:rPr>
          <w:rStyle w:val="18"/>
          <w:rFonts w:ascii="楷体" w:hAnsi="楷体" w:eastAsia="楷体"/>
          <w:b w:val="0"/>
          <w:bCs w:val="0"/>
          <w:spacing w:val="-4"/>
          <w:sz w:val="32"/>
          <w:szCs w:val="32"/>
        </w:rPr>
        <w:t>1034</w:t>
      </w:r>
      <w:r>
        <w:rPr>
          <w:rStyle w:val="18"/>
          <w:rFonts w:hint="eastAsia" w:ascii="楷体" w:hAnsi="楷体" w:eastAsia="楷体"/>
          <w:b w:val="0"/>
          <w:bCs w:val="0"/>
          <w:spacing w:val="-4"/>
          <w:sz w:val="32"/>
          <w:szCs w:val="32"/>
        </w:rPr>
        <w:t>头；全年已完成包虫病犬的驱虫数量达到</w:t>
      </w:r>
      <w:r>
        <w:rPr>
          <w:rStyle w:val="18"/>
          <w:rFonts w:ascii="楷体" w:hAnsi="楷体" w:eastAsia="楷体"/>
          <w:b w:val="0"/>
          <w:bCs w:val="0"/>
          <w:spacing w:val="-4"/>
          <w:sz w:val="32"/>
          <w:szCs w:val="32"/>
        </w:rPr>
        <w:t>0.94</w:t>
      </w:r>
      <w:r>
        <w:rPr>
          <w:rStyle w:val="18"/>
          <w:rFonts w:hint="eastAsia" w:ascii="楷体" w:hAnsi="楷体" w:eastAsia="楷体"/>
          <w:b w:val="0"/>
          <w:bCs w:val="0"/>
          <w:spacing w:val="-4"/>
          <w:sz w:val="32"/>
          <w:szCs w:val="32"/>
        </w:rPr>
        <w:t>万只，聘用村级防疫员人数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人；完成购买人畜共患病保险</w:t>
      </w:r>
      <w:r>
        <w:rPr>
          <w:rStyle w:val="18"/>
          <w:rFonts w:ascii="楷体" w:hAnsi="楷体" w:eastAsia="楷体"/>
          <w:b w:val="0"/>
          <w:bCs w:val="0"/>
          <w:spacing w:val="-4"/>
          <w:sz w:val="32"/>
          <w:szCs w:val="32"/>
        </w:rPr>
        <w:t>2.25</w:t>
      </w:r>
      <w:r>
        <w:rPr>
          <w:rStyle w:val="18"/>
          <w:rFonts w:hint="eastAsia" w:ascii="楷体" w:hAnsi="楷体" w:eastAsia="楷体"/>
          <w:b w:val="0"/>
          <w:bCs w:val="0"/>
          <w:spacing w:val="-4"/>
          <w:sz w:val="32"/>
          <w:szCs w:val="32"/>
        </w:rPr>
        <w:t>万元，购买人身意外伤害保险</w:t>
      </w:r>
      <w:r>
        <w:rPr>
          <w:rStyle w:val="18"/>
          <w:rFonts w:ascii="楷体" w:hAnsi="楷体" w:eastAsia="楷体"/>
          <w:b w:val="0"/>
          <w:bCs w:val="0"/>
          <w:spacing w:val="-4"/>
          <w:sz w:val="32"/>
          <w:szCs w:val="32"/>
        </w:rPr>
        <w:t>0.75</w:t>
      </w:r>
      <w:r>
        <w:rPr>
          <w:rStyle w:val="18"/>
          <w:rFonts w:hint="eastAsia" w:ascii="楷体" w:hAnsi="楷体" w:eastAsia="楷体"/>
          <w:b w:val="0"/>
          <w:bCs w:val="0"/>
          <w:spacing w:val="-4"/>
          <w:sz w:val="32"/>
          <w:szCs w:val="32"/>
        </w:rPr>
        <w:t>万元；全年强制免疫密度达到</w:t>
      </w:r>
      <w:r>
        <w:rPr>
          <w:rStyle w:val="18"/>
          <w:rFonts w:ascii="楷体" w:hAnsi="楷体" w:eastAsia="楷体"/>
          <w:b w:val="0"/>
          <w:bCs w:val="0"/>
          <w:spacing w:val="-4"/>
          <w:sz w:val="32"/>
          <w:szCs w:val="32"/>
        </w:rPr>
        <w:t>90%</w:t>
      </w:r>
      <w:r>
        <w:rPr>
          <w:rStyle w:val="18"/>
          <w:rFonts w:hint="eastAsia" w:ascii="楷体" w:hAnsi="楷体" w:eastAsia="楷体"/>
          <w:b w:val="0"/>
          <w:bCs w:val="0"/>
          <w:spacing w:val="-4"/>
          <w:sz w:val="32"/>
          <w:szCs w:val="32"/>
        </w:rPr>
        <w:t>，免疫抗体合格率达到</w:t>
      </w:r>
      <w:r>
        <w:rPr>
          <w:rStyle w:val="18"/>
          <w:rFonts w:ascii="楷体" w:hAnsi="楷体" w:eastAsia="楷体"/>
          <w:b w:val="0"/>
          <w:bCs w:val="0"/>
          <w:spacing w:val="-4"/>
          <w:sz w:val="32"/>
          <w:szCs w:val="32"/>
        </w:rPr>
        <w:t>70%</w:t>
      </w:r>
      <w:r>
        <w:rPr>
          <w:rStyle w:val="18"/>
          <w:rFonts w:hint="eastAsia" w:ascii="楷体" w:hAnsi="楷体" w:eastAsia="楷体"/>
          <w:b w:val="0"/>
          <w:bCs w:val="0"/>
          <w:spacing w:val="-4"/>
          <w:sz w:val="32"/>
          <w:szCs w:val="32"/>
        </w:rPr>
        <w:t>以上。</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根据昌州财农〔</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61</w:t>
      </w:r>
      <w:r>
        <w:rPr>
          <w:rStyle w:val="18"/>
          <w:rFonts w:hint="eastAsia" w:ascii="楷体" w:hAnsi="楷体" w:eastAsia="楷体"/>
          <w:b w:val="0"/>
          <w:bCs w:val="0"/>
          <w:spacing w:val="-4"/>
          <w:sz w:val="32"/>
          <w:szCs w:val="32"/>
        </w:rPr>
        <w:t>号文件批复，下达《关于提前下达</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年中央动物防疫等补助经费预算的通知》资金</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万元。截至</w:t>
      </w:r>
      <w:r>
        <w:rPr>
          <w:rStyle w:val="18"/>
          <w:rFonts w:ascii="楷体" w:hAnsi="楷体" w:eastAsia="楷体"/>
          <w:b w:val="0"/>
          <w:bCs w:val="0"/>
          <w:spacing w:val="-4"/>
          <w:sz w:val="32"/>
          <w:szCs w:val="32"/>
        </w:rPr>
        <w:t>2023</w:t>
      </w:r>
      <w:r>
        <w:rPr>
          <w:rStyle w:val="18"/>
          <w:rFonts w:hint="eastAsia" w:ascii="楷体" w:hAnsi="楷体" w:eastAsia="楷体"/>
          <w:b w:val="0"/>
          <w:bCs w:val="0"/>
          <w:spacing w:val="-4"/>
          <w:sz w:val="32"/>
          <w:szCs w:val="32"/>
        </w:rPr>
        <w:t>年</w:t>
      </w:r>
      <w:r>
        <w:rPr>
          <w:rStyle w:val="18"/>
          <w:rFonts w:ascii="楷体" w:hAnsi="楷体" w:eastAsia="楷体"/>
          <w:b w:val="0"/>
          <w:bCs w:val="0"/>
          <w:spacing w:val="-4"/>
          <w:sz w:val="32"/>
          <w:szCs w:val="32"/>
        </w:rPr>
        <w:t>12</w:t>
      </w:r>
      <w:r>
        <w:rPr>
          <w:rStyle w:val="18"/>
          <w:rFonts w:hint="eastAsia" w:ascii="楷体" w:hAnsi="楷体" w:eastAsia="楷体"/>
          <w:b w:val="0"/>
          <w:bCs w:val="0"/>
          <w:spacing w:val="-4"/>
          <w:sz w:val="32"/>
          <w:szCs w:val="32"/>
        </w:rPr>
        <w:t>月</w:t>
      </w:r>
      <w:r>
        <w:rPr>
          <w:rStyle w:val="18"/>
          <w:rFonts w:ascii="楷体" w:hAnsi="楷体" w:eastAsia="楷体"/>
          <w:b w:val="0"/>
          <w:bCs w:val="0"/>
          <w:spacing w:val="-4"/>
          <w:sz w:val="32"/>
          <w:szCs w:val="32"/>
        </w:rPr>
        <w:t>31</w:t>
      </w:r>
      <w:r>
        <w:rPr>
          <w:rStyle w:val="18"/>
          <w:rFonts w:hint="eastAsia" w:ascii="楷体" w:hAnsi="楷体" w:eastAsia="楷体"/>
          <w:b w:val="0"/>
          <w:bCs w:val="0"/>
          <w:spacing w:val="-4"/>
          <w:sz w:val="32"/>
          <w:szCs w:val="32"/>
        </w:rPr>
        <w:t>日已执行</w:t>
      </w:r>
      <w:r>
        <w:rPr>
          <w:rStyle w:val="18"/>
          <w:rFonts w:ascii="楷体" w:hAnsi="楷体" w:eastAsia="楷体"/>
          <w:b w:val="0"/>
          <w:bCs w:val="0"/>
          <w:spacing w:val="-4"/>
          <w:sz w:val="32"/>
          <w:szCs w:val="32"/>
        </w:rPr>
        <w:t>103.3</w:t>
      </w:r>
      <w:r>
        <w:rPr>
          <w:rStyle w:val="18"/>
          <w:rFonts w:hint="eastAsia" w:ascii="楷体" w:hAnsi="楷体" w:eastAsia="楷体"/>
          <w:b w:val="0"/>
          <w:bCs w:val="0"/>
          <w:spacing w:val="-4"/>
          <w:sz w:val="32"/>
          <w:szCs w:val="32"/>
        </w:rPr>
        <w:t>万元，预算执行率</w:t>
      </w:r>
      <w:r>
        <w:rPr>
          <w:rStyle w:val="18"/>
          <w:rFonts w:ascii="楷体" w:hAnsi="楷体" w:eastAsia="楷体"/>
          <w:b w:val="0"/>
          <w:bCs w:val="0"/>
          <w:spacing w:val="-4"/>
          <w:sz w:val="32"/>
          <w:szCs w:val="32"/>
        </w:rPr>
        <w:t>100%</w:t>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t>存在偏差的指标：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：养殖环节病死猪无害化处理补助头数，指标值：≥</w:t>
      </w:r>
      <w:r>
        <w:rPr>
          <w:rStyle w:val="18"/>
          <w:rFonts w:ascii="楷体" w:hAnsi="楷体" w:eastAsia="楷体"/>
          <w:b w:val="0"/>
          <w:bCs w:val="0"/>
          <w:spacing w:val="-4"/>
          <w:sz w:val="32"/>
          <w:szCs w:val="32"/>
        </w:rPr>
        <w:t>847</w:t>
      </w:r>
      <w:r>
        <w:rPr>
          <w:rStyle w:val="18"/>
          <w:rFonts w:hint="eastAsia" w:ascii="楷体" w:hAnsi="楷体" w:eastAsia="楷体"/>
          <w:b w:val="0"/>
          <w:bCs w:val="0"/>
          <w:spacing w:val="-4"/>
          <w:sz w:val="32"/>
          <w:szCs w:val="32"/>
        </w:rPr>
        <w:t>头，实际完成值</w:t>
      </w:r>
      <w:r>
        <w:rPr>
          <w:rStyle w:val="18"/>
          <w:rFonts w:ascii="楷体" w:hAnsi="楷体" w:eastAsia="楷体"/>
          <w:b w:val="0"/>
          <w:bCs w:val="0"/>
          <w:spacing w:val="-4"/>
          <w:sz w:val="32"/>
          <w:szCs w:val="32"/>
        </w:rPr>
        <w:t>1043</w:t>
      </w:r>
      <w:r>
        <w:rPr>
          <w:rStyle w:val="18"/>
          <w:rFonts w:hint="eastAsia" w:ascii="楷体" w:hAnsi="楷体" w:eastAsia="楷体"/>
          <w:b w:val="0"/>
          <w:bCs w:val="0"/>
          <w:spacing w:val="-4"/>
          <w:sz w:val="32"/>
          <w:szCs w:val="32"/>
        </w:rPr>
        <w:t>头，指标完成率</w:t>
      </w:r>
      <w:r>
        <w:rPr>
          <w:rStyle w:val="18"/>
          <w:rFonts w:ascii="楷体" w:hAnsi="楷体" w:eastAsia="楷体"/>
          <w:b w:val="0"/>
          <w:bCs w:val="0"/>
          <w:spacing w:val="-4"/>
          <w:sz w:val="32"/>
          <w:szCs w:val="32"/>
        </w:rPr>
        <w:t>123%</w:t>
      </w:r>
      <w:r>
        <w:rPr>
          <w:rStyle w:val="18"/>
          <w:rFonts w:hint="eastAsia" w:ascii="楷体" w:hAnsi="楷体" w:eastAsia="楷体"/>
          <w:b w:val="0"/>
          <w:bCs w:val="0"/>
          <w:spacing w:val="-4"/>
          <w:sz w:val="32"/>
          <w:szCs w:val="32"/>
        </w:rPr>
        <w:t>，偏差原因本年兑现</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年度养殖环节病死猪无害化处理补助并</w:t>
      </w:r>
      <w:r>
        <w:rPr>
          <w:rStyle w:val="18"/>
          <w:rFonts w:ascii="楷体" w:hAnsi="楷体" w:eastAsia="楷体"/>
          <w:b w:val="0"/>
          <w:bCs w:val="0"/>
          <w:spacing w:val="-4"/>
          <w:sz w:val="32"/>
          <w:szCs w:val="32"/>
        </w:rPr>
        <w:t>2022</w:t>
      </w:r>
      <w:r>
        <w:rPr>
          <w:rStyle w:val="18"/>
          <w:rFonts w:hint="eastAsia" w:ascii="楷体" w:hAnsi="楷体" w:eastAsia="楷体"/>
          <w:b w:val="0"/>
          <w:bCs w:val="0"/>
          <w:spacing w:val="-4"/>
          <w:sz w:val="32"/>
          <w:szCs w:val="32"/>
        </w:rPr>
        <w:t>年度上级未下达指标。</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：完成包虫病犬的驱虫数量，指标值：≥</w:t>
      </w:r>
      <w:r>
        <w:rPr>
          <w:rStyle w:val="18"/>
          <w:rFonts w:ascii="楷体" w:hAnsi="楷体" w:eastAsia="楷体"/>
          <w:b w:val="0"/>
          <w:bCs w:val="0"/>
          <w:spacing w:val="-4"/>
          <w:sz w:val="32"/>
          <w:szCs w:val="32"/>
        </w:rPr>
        <w:t>0.92</w:t>
      </w:r>
      <w:r>
        <w:rPr>
          <w:rStyle w:val="18"/>
          <w:rFonts w:hint="eastAsia" w:ascii="楷体" w:hAnsi="楷体" w:eastAsia="楷体"/>
          <w:b w:val="0"/>
          <w:bCs w:val="0"/>
          <w:spacing w:val="-4"/>
          <w:sz w:val="32"/>
          <w:szCs w:val="32"/>
        </w:rPr>
        <w:t>万只，实际完成值</w:t>
      </w:r>
      <w:r>
        <w:rPr>
          <w:rStyle w:val="18"/>
          <w:rFonts w:ascii="楷体" w:hAnsi="楷体" w:eastAsia="楷体"/>
          <w:b w:val="0"/>
          <w:bCs w:val="0"/>
          <w:spacing w:val="-4"/>
          <w:sz w:val="32"/>
          <w:szCs w:val="32"/>
        </w:rPr>
        <w:t>0.94</w:t>
      </w:r>
      <w:r>
        <w:rPr>
          <w:rStyle w:val="18"/>
          <w:rFonts w:hint="eastAsia" w:ascii="楷体" w:hAnsi="楷体" w:eastAsia="楷体"/>
          <w:b w:val="0"/>
          <w:bCs w:val="0"/>
          <w:spacing w:val="-4"/>
          <w:sz w:val="32"/>
          <w:szCs w:val="32"/>
        </w:rPr>
        <w:t>万只，指标完成率</w:t>
      </w:r>
      <w:r>
        <w:rPr>
          <w:rStyle w:val="18"/>
          <w:rFonts w:ascii="楷体" w:hAnsi="楷体" w:eastAsia="楷体"/>
          <w:b w:val="0"/>
          <w:bCs w:val="0"/>
          <w:spacing w:val="-4"/>
          <w:sz w:val="32"/>
          <w:szCs w:val="32"/>
        </w:rPr>
        <w:t>102.17%</w:t>
      </w:r>
      <w:r>
        <w:rPr>
          <w:rStyle w:val="18"/>
          <w:rFonts w:hint="eastAsia" w:ascii="楷体" w:hAnsi="楷体" w:eastAsia="楷体"/>
          <w:b w:val="0"/>
          <w:bCs w:val="0"/>
          <w:spacing w:val="-4"/>
          <w:sz w:val="32"/>
          <w:szCs w:val="32"/>
        </w:rPr>
        <w:t>，偏差原因由于防疫需求增大，估数量有所增加。</w:t>
      </w:r>
    </w:p>
    <w:p w14:paraId="0DDF7E43">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EB84B1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）是领导高度重视。专项资金预算下拨后，主要领导和分管领导高度重视，落实责任分工，确保项目顺利进行。</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）是管理愈加规范。制定了专项资金管理工作制度，明确了资金付款流程，统一了资金申请手续，做到了层层审核、层层负责、层层把关，付款中全部要求请款单位提供正规发票，没用白条入账现象。</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3</w:t>
      </w:r>
      <w:r>
        <w:rPr>
          <w:rStyle w:val="18"/>
          <w:rFonts w:hint="eastAsia" w:ascii="楷体" w:hAnsi="楷体" w:eastAsia="楷体"/>
          <w:b w:val="0"/>
          <w:bCs w:val="0"/>
          <w:spacing w:val="-4"/>
          <w:sz w:val="32"/>
          <w:szCs w:val="32"/>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存在的问题：</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准备比较全面，深入细致科学规划地做好各项前期工作，项目实施前期已根据项目绩效目标表设置内容，按规定实施项目，但项目绩效自评没有项目实施人员自己负责完成，都是财务人员完成，相关自评材料完成领导重视程度不够好，对项目支出绩效工作的认识有待提高。</w:t>
      </w:r>
      <w:r>
        <w:rPr>
          <w:rStyle w:val="18"/>
          <w:rFonts w:ascii="楷体" w:hAnsi="楷体" w:eastAsia="楷体"/>
          <w:b w:val="0"/>
          <w:bCs w:val="0"/>
          <w:spacing w:val="-4"/>
          <w:sz w:val="32"/>
          <w:szCs w:val="32"/>
        </w:rPr>
        <w:br w:type="textWrapping"/>
      </w:r>
      <w:r>
        <w:rPr>
          <w:rStyle w:val="18"/>
          <w:rFonts w:ascii="楷体" w:hAnsi="楷体" w:eastAsia="楷体"/>
          <w:b w:val="0"/>
          <w:bCs w:val="0"/>
          <w:spacing w:val="-4"/>
          <w:sz w:val="32"/>
          <w:szCs w:val="32"/>
        </w:rPr>
        <w:t>2.</w:t>
      </w:r>
      <w:r>
        <w:rPr>
          <w:rStyle w:val="18"/>
          <w:rFonts w:hint="eastAsia" w:ascii="楷体" w:hAnsi="楷体" w:eastAsia="楷体"/>
          <w:b w:val="0"/>
          <w:bCs w:val="0"/>
          <w:spacing w:val="-4"/>
          <w:sz w:val="32"/>
          <w:szCs w:val="32"/>
        </w:rPr>
        <w:t>改进措施：</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ascii="楷体" w:hAnsi="楷体" w:eastAsia="楷体"/>
          <w:b w:val="0"/>
          <w:bCs w:val="0"/>
          <w:spacing w:val="-4"/>
          <w:sz w:val="32"/>
          <w:szCs w:val="32"/>
        </w:rPr>
        <w:t>1</w:t>
      </w:r>
      <w:r>
        <w:rPr>
          <w:rStyle w:val="18"/>
          <w:rFonts w:hint="eastAsia" w:ascii="楷体" w:hAnsi="楷体" w:eastAsia="楷体"/>
          <w:b w:val="0"/>
          <w:bCs w:val="0"/>
          <w:spacing w:val="-4"/>
          <w:sz w:val="32"/>
          <w:szCs w:val="32"/>
        </w:rPr>
        <w:t>）科学编制预算，提高预算与目标匹配度</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r>
        <w:rPr>
          <w:rStyle w:val="18"/>
          <w:rFonts w:ascii="楷体" w:hAnsi="楷体" w:eastAsia="楷体"/>
          <w:b w:val="0"/>
          <w:bCs w:val="0"/>
          <w:spacing w:val="-4"/>
          <w:sz w:val="32"/>
          <w:szCs w:val="32"/>
        </w:rPr>
        <w:t xml:space="preserve"> </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14:paraId="760A1EF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14:paraId="2532FEF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进一步加强对项目管理人员技能培训，提高对项目支出绩效工作的认识和技能。开展进度的跟踪，确保项目绩效目标的完成。</w:t>
      </w:r>
    </w:p>
    <w:p w14:paraId="2BBB3AA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3FD0DC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（一）本项目部分间接生产的效果无法准确在短时间内衡量，因此很难认定项目生产的全部效果。通过指标的科学性和全面性需要不断地完善和研究，</w:t>
      </w:r>
      <w:r>
        <w:rPr>
          <w:rStyle w:val="18"/>
          <w:rFonts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（二）我单位对上述项目支出绩效评价报告内反映内容的真实性、完整性负责，接受上级部门及社会公众监督。</w:t>
      </w:r>
    </w:p>
    <w:p w14:paraId="13A77D47">
      <w:pPr>
        <w:spacing w:line="540" w:lineRule="exact"/>
        <w:ind w:firstLine="567"/>
        <w:rPr>
          <w:rStyle w:val="18"/>
          <w:rFonts w:ascii="仿宋" w:hAnsi="仿宋" w:eastAsia="仿宋"/>
          <w:b w:val="0"/>
          <w:spacing w:val="-4"/>
          <w:sz w:val="32"/>
          <w:szCs w:val="32"/>
        </w:rPr>
      </w:pPr>
    </w:p>
    <w:p w14:paraId="3056B0E0">
      <w:pPr>
        <w:spacing w:line="540" w:lineRule="exact"/>
        <w:ind w:firstLine="567"/>
        <w:rPr>
          <w:rStyle w:val="18"/>
          <w:rFonts w:ascii="仿宋" w:hAnsi="仿宋" w:eastAsia="仿宋"/>
          <w:b w:val="0"/>
          <w:spacing w:val="-4"/>
          <w:sz w:val="32"/>
          <w:szCs w:val="32"/>
        </w:rPr>
      </w:pPr>
    </w:p>
    <w:p w14:paraId="441FA9F3">
      <w:pPr>
        <w:spacing w:line="540" w:lineRule="exact"/>
        <w:ind w:firstLine="567"/>
        <w:rPr>
          <w:rStyle w:val="18"/>
          <w:rFonts w:ascii="仿宋" w:hAnsi="仿宋" w:eastAsia="仿宋"/>
          <w:b w:val="0"/>
          <w:spacing w:val="-4"/>
          <w:sz w:val="32"/>
          <w:szCs w:val="32"/>
        </w:rPr>
      </w:pPr>
    </w:p>
    <w:p w14:paraId="7D9BA42F">
      <w:pPr>
        <w:spacing w:line="540" w:lineRule="exact"/>
        <w:ind w:firstLine="567"/>
        <w:rPr>
          <w:rStyle w:val="18"/>
          <w:rFonts w:ascii="仿宋" w:hAnsi="仿宋" w:eastAsia="仿宋"/>
          <w:b w:val="0"/>
          <w:spacing w:val="-4"/>
          <w:sz w:val="32"/>
          <w:szCs w:val="32"/>
        </w:rPr>
      </w:pPr>
    </w:p>
    <w:p w14:paraId="75391C7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6E32F">
    <w:pPr>
      <w:pStyle w:val="12"/>
      <w:jc w:val="center"/>
    </w:pPr>
    <w:r>
      <w:fldChar w:fldCharType="begin"/>
    </w:r>
    <w:r>
      <w:instrText xml:space="preserve">PAGE   \* MERGEFORMAT</w:instrText>
    </w:r>
    <w:r>
      <w:fldChar w:fldCharType="separate"/>
    </w:r>
    <w:r>
      <w:rPr>
        <w:lang w:val="zh-CN"/>
      </w:rPr>
      <w:t>1</w:t>
    </w:r>
    <w:r>
      <w:rPr>
        <w:lang w:val="zh-CN"/>
      </w:rPr>
      <w:fldChar w:fldCharType="end"/>
    </w:r>
  </w:p>
  <w:p w14:paraId="2714F33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67C7B"/>
    <w:rsid w:val="003C143E"/>
    <w:rsid w:val="004366A8"/>
    <w:rsid w:val="004569AD"/>
    <w:rsid w:val="00502BA7"/>
    <w:rsid w:val="005162F1"/>
    <w:rsid w:val="00535153"/>
    <w:rsid w:val="00554F82"/>
    <w:rsid w:val="0056390D"/>
    <w:rsid w:val="005719B0"/>
    <w:rsid w:val="005D10D6"/>
    <w:rsid w:val="007278CC"/>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B4F62"/>
    <w:rsid w:val="00CE2FD9"/>
    <w:rsid w:val="00D17F2E"/>
    <w:rsid w:val="00D212FC"/>
    <w:rsid w:val="00D30354"/>
    <w:rsid w:val="00D505C0"/>
    <w:rsid w:val="00DF42A0"/>
    <w:rsid w:val="00E30E91"/>
    <w:rsid w:val="00E769FE"/>
    <w:rsid w:val="00EA2CBE"/>
    <w:rsid w:val="00F32FEE"/>
    <w:rsid w:val="00FB10BB"/>
    <w:rsid w:val="0856517C"/>
    <w:rsid w:val="0A8A6489"/>
    <w:rsid w:val="0BFB189F"/>
    <w:rsid w:val="11BD75F7"/>
    <w:rsid w:val="13BE561A"/>
    <w:rsid w:val="15392994"/>
    <w:rsid w:val="18FE139B"/>
    <w:rsid w:val="3029612C"/>
    <w:rsid w:val="32A221C5"/>
    <w:rsid w:val="33F20F2A"/>
    <w:rsid w:val="34C44675"/>
    <w:rsid w:val="372B35D5"/>
    <w:rsid w:val="3B5B5607"/>
    <w:rsid w:val="3CE21B3C"/>
    <w:rsid w:val="3EA42E21"/>
    <w:rsid w:val="4D2606A1"/>
    <w:rsid w:val="51830480"/>
    <w:rsid w:val="53A616BE"/>
    <w:rsid w:val="54662BFB"/>
    <w:rsid w:val="62051CA5"/>
    <w:rsid w:val="6C3A69EF"/>
    <w:rsid w:val="75CF1ACA"/>
    <w:rsid w:val="7BDF2CF1"/>
    <w:rsid w:val="7DB128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29"/>
    <w:semiHidden/>
    <w:uiPriority w:val="99"/>
    <w:rPr>
      <w:sz w:val="18"/>
      <w:szCs w:val="18"/>
    </w:rPr>
  </w:style>
  <w:style w:type="paragraph" w:styleId="12">
    <w:name w:val="footer"/>
    <w:basedOn w:val="1"/>
    <w:link w:val="30"/>
    <w:uiPriority w:val="99"/>
    <w:pPr>
      <w:tabs>
        <w:tab w:val="center" w:pos="4153"/>
        <w:tab w:val="right" w:pos="8306"/>
      </w:tabs>
      <w:snapToGrid w:val="0"/>
      <w:jc w:val="left"/>
    </w:pPr>
    <w:rPr>
      <w:rFonts w:ascii="Calibri" w:hAnsi="Calibri"/>
      <w:sz w:val="18"/>
      <w:szCs w:val="18"/>
    </w:rPr>
  </w:style>
  <w:style w:type="paragraph" w:styleId="13">
    <w:name w:val="header"/>
    <w:basedOn w:val="1"/>
    <w:link w:val="31"/>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99"/>
    <w:pPr>
      <w:widowControl/>
      <w:spacing w:after="60"/>
      <w:jc w:val="center"/>
      <w:outlineLvl w:val="1"/>
    </w:pPr>
    <w:rPr>
      <w:rFonts w:ascii="Cambria" w:hAnsi="Cambria"/>
      <w:kern w:val="0"/>
      <w:sz w:val="24"/>
    </w:rPr>
  </w:style>
  <w:style w:type="paragraph" w:styleId="15">
    <w:name w:val="Title"/>
    <w:basedOn w:val="1"/>
    <w:next w:val="1"/>
    <w:link w:val="33"/>
    <w:qFormat/>
    <w:uiPriority w:val="99"/>
    <w:pPr>
      <w:widowControl/>
      <w:spacing w:before="240" w:after="60"/>
      <w:jc w:val="center"/>
      <w:outlineLvl w:val="0"/>
    </w:pPr>
    <w:rPr>
      <w:rFonts w:ascii="Cambria" w:hAnsi="Cambria"/>
      <w:b/>
      <w:bCs/>
      <w:kern w:val="28"/>
      <w:sz w:val="32"/>
      <w:szCs w:val="32"/>
    </w:rPr>
  </w:style>
  <w:style w:type="character" w:styleId="18">
    <w:name w:val="Strong"/>
    <w:qFormat/>
    <w:uiPriority w:val="99"/>
    <w:rPr>
      <w:rFonts w:cs="Times New Roman"/>
      <w:b/>
      <w:bCs/>
    </w:rPr>
  </w:style>
  <w:style w:type="character" w:styleId="19">
    <w:name w:val="Emphasis"/>
    <w:qFormat/>
    <w:uiPriority w:val="99"/>
    <w:rPr>
      <w:rFonts w:ascii="Calibri" w:hAnsi="Calibri" w:cs="Times New Roman"/>
      <w:b/>
      <w:i/>
      <w:iCs/>
    </w:rPr>
  </w:style>
  <w:style w:type="character" w:customStyle="1" w:styleId="20">
    <w:name w:val="标题 1 字符"/>
    <w:link w:val="2"/>
    <w:locked/>
    <w:uiPriority w:val="99"/>
    <w:rPr>
      <w:rFonts w:ascii="Cambria" w:hAnsi="Cambria" w:eastAsia="宋体" w:cs="Times New Roman"/>
      <w:b/>
      <w:bCs/>
      <w:kern w:val="32"/>
      <w:sz w:val="32"/>
      <w:szCs w:val="32"/>
    </w:rPr>
  </w:style>
  <w:style w:type="character" w:customStyle="1" w:styleId="21">
    <w:name w:val="标题 2 字符"/>
    <w:link w:val="3"/>
    <w:semiHidden/>
    <w:locked/>
    <w:uiPriority w:val="99"/>
    <w:rPr>
      <w:rFonts w:ascii="Cambria" w:hAnsi="Cambria" w:eastAsia="宋体" w:cs="Times New Roman"/>
      <w:b/>
      <w:bCs/>
      <w:i/>
      <w:iCs/>
      <w:sz w:val="28"/>
      <w:szCs w:val="28"/>
    </w:rPr>
  </w:style>
  <w:style w:type="character" w:customStyle="1" w:styleId="22">
    <w:name w:val="标题 3 字符"/>
    <w:link w:val="4"/>
    <w:semiHidden/>
    <w:locked/>
    <w:uiPriority w:val="99"/>
    <w:rPr>
      <w:rFonts w:ascii="Cambria" w:hAnsi="Cambria" w:eastAsia="宋体" w:cs="Times New Roman"/>
      <w:b/>
      <w:bCs/>
      <w:sz w:val="26"/>
      <w:szCs w:val="26"/>
    </w:rPr>
  </w:style>
  <w:style w:type="character" w:customStyle="1" w:styleId="23">
    <w:name w:val="标题 4 字符"/>
    <w:link w:val="5"/>
    <w:semiHidden/>
    <w:qFormat/>
    <w:locked/>
    <w:uiPriority w:val="99"/>
    <w:rPr>
      <w:rFonts w:cs="Times New Roman"/>
      <w:b/>
      <w:bCs/>
      <w:sz w:val="28"/>
      <w:szCs w:val="28"/>
    </w:rPr>
  </w:style>
  <w:style w:type="character" w:customStyle="1" w:styleId="24">
    <w:name w:val="标题 5 字符"/>
    <w:link w:val="6"/>
    <w:semiHidden/>
    <w:qFormat/>
    <w:locked/>
    <w:uiPriority w:val="99"/>
    <w:rPr>
      <w:rFonts w:cs="Times New Roman"/>
      <w:b/>
      <w:bCs/>
      <w:i/>
      <w:iCs/>
      <w:sz w:val="26"/>
      <w:szCs w:val="26"/>
    </w:rPr>
  </w:style>
  <w:style w:type="character" w:customStyle="1" w:styleId="25">
    <w:name w:val="标题 6 字符"/>
    <w:link w:val="7"/>
    <w:semiHidden/>
    <w:qFormat/>
    <w:locked/>
    <w:uiPriority w:val="99"/>
    <w:rPr>
      <w:rFonts w:cs="Times New Roman"/>
      <w:b/>
      <w:bCs/>
    </w:rPr>
  </w:style>
  <w:style w:type="character" w:customStyle="1" w:styleId="26">
    <w:name w:val="标题 7 字符"/>
    <w:link w:val="8"/>
    <w:semiHidden/>
    <w:qFormat/>
    <w:locked/>
    <w:uiPriority w:val="99"/>
    <w:rPr>
      <w:rFonts w:cs="Times New Roman"/>
      <w:sz w:val="24"/>
      <w:szCs w:val="24"/>
    </w:rPr>
  </w:style>
  <w:style w:type="character" w:customStyle="1" w:styleId="27">
    <w:name w:val="标题 8 字符"/>
    <w:link w:val="9"/>
    <w:semiHidden/>
    <w:locked/>
    <w:uiPriority w:val="99"/>
    <w:rPr>
      <w:rFonts w:cs="Times New Roman"/>
      <w:i/>
      <w:iCs/>
      <w:sz w:val="24"/>
      <w:szCs w:val="24"/>
    </w:rPr>
  </w:style>
  <w:style w:type="character" w:customStyle="1" w:styleId="28">
    <w:name w:val="标题 9 字符"/>
    <w:link w:val="10"/>
    <w:semiHidden/>
    <w:locked/>
    <w:uiPriority w:val="99"/>
    <w:rPr>
      <w:rFonts w:ascii="Cambria" w:hAnsi="Cambria" w:eastAsia="宋体" w:cs="Times New Roman"/>
    </w:rPr>
  </w:style>
  <w:style w:type="character" w:customStyle="1" w:styleId="29">
    <w:name w:val="批注框文本 字符"/>
    <w:link w:val="11"/>
    <w:semiHidden/>
    <w:locked/>
    <w:uiPriority w:val="99"/>
    <w:rPr>
      <w:rFonts w:ascii="Times New Roman" w:hAnsi="Times New Roman" w:eastAsia="宋体" w:cs="Times New Roman"/>
      <w:kern w:val="2"/>
      <w:sz w:val="18"/>
      <w:szCs w:val="18"/>
    </w:rPr>
  </w:style>
  <w:style w:type="character" w:customStyle="1" w:styleId="30">
    <w:name w:val="页脚 字符"/>
    <w:link w:val="12"/>
    <w:qFormat/>
    <w:locked/>
    <w:uiPriority w:val="99"/>
    <w:rPr>
      <w:rFonts w:ascii="Calibri" w:hAnsi="Calibri" w:eastAsia="宋体" w:cs="Times New Roman"/>
      <w:kern w:val="2"/>
      <w:sz w:val="18"/>
      <w:szCs w:val="18"/>
    </w:rPr>
  </w:style>
  <w:style w:type="character" w:customStyle="1" w:styleId="31">
    <w:name w:val="页眉 字符"/>
    <w:link w:val="13"/>
    <w:locked/>
    <w:uiPriority w:val="99"/>
    <w:rPr>
      <w:rFonts w:ascii="Calibri" w:hAnsi="Calibri" w:eastAsia="宋体" w:cs="Times New Roman"/>
      <w:kern w:val="2"/>
      <w:sz w:val="18"/>
      <w:szCs w:val="18"/>
    </w:rPr>
  </w:style>
  <w:style w:type="character" w:customStyle="1" w:styleId="32">
    <w:name w:val="副标题 字符"/>
    <w:link w:val="14"/>
    <w:qFormat/>
    <w:locked/>
    <w:uiPriority w:val="99"/>
    <w:rPr>
      <w:rFonts w:ascii="Cambria" w:hAnsi="Cambria" w:eastAsia="宋体" w:cs="Times New Roman"/>
      <w:sz w:val="24"/>
      <w:szCs w:val="24"/>
    </w:rPr>
  </w:style>
  <w:style w:type="character" w:customStyle="1" w:styleId="33">
    <w:name w:val="标题 字符"/>
    <w:link w:val="15"/>
    <w:qFormat/>
    <w:locked/>
    <w:uiPriority w:val="99"/>
    <w:rPr>
      <w:rFonts w:ascii="Cambria" w:hAnsi="Cambria" w:eastAsia="宋体" w:cs="Times New Roman"/>
      <w:b/>
      <w:bCs/>
      <w:kern w:val="28"/>
      <w:sz w:val="32"/>
      <w:szCs w:val="32"/>
    </w:rPr>
  </w:style>
  <w:style w:type="paragraph" w:styleId="34">
    <w:name w:val="No Spacing"/>
    <w:basedOn w:val="1"/>
    <w:qFormat/>
    <w:uiPriority w:val="99"/>
    <w:pPr>
      <w:widowControl/>
      <w:jc w:val="left"/>
    </w:pPr>
    <w:rPr>
      <w:rFonts w:ascii="Calibri" w:hAnsi="Calibri"/>
      <w:kern w:val="0"/>
      <w:sz w:val="24"/>
      <w:szCs w:val="32"/>
      <w:lang w:eastAsia="en-US"/>
    </w:rPr>
  </w:style>
  <w:style w:type="paragraph" w:styleId="35">
    <w:name w:val="List Paragraph"/>
    <w:basedOn w:val="1"/>
    <w:qFormat/>
    <w:uiPriority w:val="99"/>
    <w:pPr>
      <w:widowControl/>
      <w:ind w:left="720"/>
      <w:contextualSpacing/>
      <w:jc w:val="left"/>
    </w:pPr>
    <w:rPr>
      <w:rFonts w:ascii="Calibri" w:hAnsi="Calibri"/>
      <w:kern w:val="0"/>
      <w:sz w:val="24"/>
      <w:lang w:eastAsia="en-US"/>
    </w:rPr>
  </w:style>
  <w:style w:type="paragraph" w:styleId="36">
    <w:name w:val="Quote"/>
    <w:basedOn w:val="1"/>
    <w:next w:val="1"/>
    <w:link w:val="37"/>
    <w:qFormat/>
    <w:uiPriority w:val="99"/>
    <w:pPr>
      <w:widowControl/>
      <w:jc w:val="left"/>
    </w:pPr>
    <w:rPr>
      <w:rFonts w:ascii="Calibri" w:hAnsi="Calibri"/>
      <w:i/>
      <w:kern w:val="0"/>
      <w:sz w:val="24"/>
    </w:rPr>
  </w:style>
  <w:style w:type="character" w:customStyle="1" w:styleId="37">
    <w:name w:val="引用 字符"/>
    <w:link w:val="36"/>
    <w:locked/>
    <w:uiPriority w:val="99"/>
    <w:rPr>
      <w:rFonts w:cs="Times New Roman"/>
      <w:i/>
      <w:sz w:val="24"/>
      <w:szCs w:val="24"/>
    </w:rPr>
  </w:style>
  <w:style w:type="paragraph" w:styleId="38">
    <w:name w:val="Intense Quote"/>
    <w:basedOn w:val="1"/>
    <w:next w:val="1"/>
    <w:link w:val="39"/>
    <w:qFormat/>
    <w:uiPriority w:val="99"/>
    <w:pPr>
      <w:widowControl/>
      <w:ind w:left="720" w:right="720"/>
      <w:jc w:val="left"/>
    </w:pPr>
    <w:rPr>
      <w:rFonts w:ascii="Calibri" w:hAnsi="Calibri"/>
      <w:b/>
      <w:i/>
      <w:kern w:val="0"/>
      <w:sz w:val="24"/>
      <w:szCs w:val="22"/>
    </w:rPr>
  </w:style>
  <w:style w:type="character" w:customStyle="1" w:styleId="39">
    <w:name w:val="明显引用 字符"/>
    <w:link w:val="38"/>
    <w:locked/>
    <w:uiPriority w:val="99"/>
    <w:rPr>
      <w:rFonts w:cs="Times New Roman"/>
      <w:b/>
      <w:i/>
      <w:sz w:val="24"/>
    </w:rPr>
  </w:style>
  <w:style w:type="character" w:customStyle="1" w:styleId="40">
    <w:name w:val="不明显强调1"/>
    <w:qFormat/>
    <w:uiPriority w:val="99"/>
    <w:rPr>
      <w:i/>
      <w:color w:val="595959"/>
    </w:rPr>
  </w:style>
  <w:style w:type="character" w:customStyle="1" w:styleId="41">
    <w:name w:val="明显强调1"/>
    <w:qFormat/>
    <w:uiPriority w:val="99"/>
    <w:rPr>
      <w:rFonts w:cs="Times New Roman"/>
      <w:b/>
      <w:i/>
      <w:sz w:val="24"/>
      <w:szCs w:val="24"/>
      <w:u w:val="single"/>
    </w:rPr>
  </w:style>
  <w:style w:type="character" w:customStyle="1" w:styleId="42">
    <w:name w:val="不明显参考1"/>
    <w:qFormat/>
    <w:uiPriority w:val="99"/>
    <w:rPr>
      <w:rFonts w:cs="Times New Roman"/>
      <w:sz w:val="24"/>
      <w:szCs w:val="24"/>
      <w:u w:val="single"/>
    </w:rPr>
  </w:style>
  <w:style w:type="character" w:customStyle="1" w:styleId="43">
    <w:name w:val="明显参考1"/>
    <w:uiPriority w:val="99"/>
    <w:rPr>
      <w:rFonts w:cs="Times New Roman"/>
      <w:b/>
      <w:sz w:val="24"/>
      <w:u w:val="single"/>
    </w:rPr>
  </w:style>
  <w:style w:type="character" w:customStyle="1" w:styleId="44">
    <w:name w:val="书籍标题1"/>
    <w:uiPriority w:val="99"/>
    <w:rPr>
      <w:rFonts w:ascii="Cambria" w:hAnsi="Cambria" w:eastAsia="宋体" w:cs="Times New Roman"/>
      <w:b/>
      <w:i/>
      <w:sz w:val="24"/>
      <w:szCs w:val="24"/>
    </w:rPr>
  </w:style>
  <w:style w:type="paragraph" w:customStyle="1" w:styleId="45">
    <w:name w:val="TOC 标题1"/>
    <w:basedOn w:val="2"/>
    <w:next w:val="1"/>
    <w:semiHidden/>
    <w:uiPriority w:val="99"/>
    <w:pPr>
      <w:outlineLvl w:val="9"/>
    </w:pPr>
    <w:rPr>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7071</Words>
  <Characters>7633</Characters>
  <Lines>56</Lines>
  <Paragraphs>15</Paragraphs>
  <TotalTime>1</TotalTime>
  <ScaleCrop>false</ScaleCrop>
  <LinksUpToDate>false</LinksUpToDate>
  <CharactersWithSpaces>7724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2024-08-14T04:09:00Z</dcterms:created>
  <dc:creator>赵 恺（预算处）</dc:creator>
  <cp:lastModifiedBy>哎呦喂</cp:lastModifiedBy>
  <cp:lastPrinted>2018-12-31T10:56:00Z</cp:lastPrinted>
  <dcterms:modified xsi:type="dcterms:W3CDTF">2024-12-27T06:14:12Z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F730FBDE69174F6FB5A053B273F4C289</vt:lpwstr>
  </property>
  <property fmtid="{D5CDD505-2E9C-101B-9397-08002B2CF9AE}" pid="4" name="KSOTemplateDocerSaveRecord">
    <vt:lpwstr>eyJoZGlkIjoiMzEwNTM5NzYwMDRjMzkwZTVkZjY2ODkwMGIxNGU0OTUiLCJ1c2VySWQiOiIxMTcxMDQ1MzEwIn0=</vt:lpwstr>
  </property>
</Properties>
</file>